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rPr/>
      </w:pPr>
      <w:r>
        <w:rPr>
          <w:rFonts w:ascii="Arial" w:cs="Arial" w:eastAsia="Arial" w:hAnsi="Arial"/>
          <w:b w:val="1"/>
          <w:bCs w:val="1"/>
          <w:color w:val="000000"/>
          <w:sz w:val="40"/>
          <w:szCs w:val="40"/>
          <w:rtl w:val="0"/>
        </w:rPr>
        <w:t xml:space="preserve">M205: Trigonometric Functions</w:t>
      </w:r>
      <w:r>
        <w:rPr>
          <w:rFonts w:ascii="Arial" w:cs="Arial" w:eastAsia="Arial" w:hAnsi="Arial"/>
          <w:b w:val="0"/>
          <w:bCs w:val="0"/>
          <w:color w:val="444444"/>
          <w:sz w:val="28"/>
          <w:szCs w:val="28"/>
          <w:rtl w:val="0"/>
        </w:rPr>
        <w:t xml:space="preserve">  | </w:t>
      </w:r>
      <w:r>
        <w:rPr>
          <w:rFonts w:ascii="Arial" w:cs="Arial" w:eastAsia="Arial" w:hAnsi="Arial"/>
          <w:b w:val="0"/>
          <w:bCs w:val="0"/>
          <w:color w:val="444444"/>
          <w:sz w:val="28"/>
          <w:szCs w:val="28"/>
          <w:rtl w:val="0"/>
        </w:rPr>
        <w:t xml:space="preserve"> Sample Portfolio Rubric</w:t>
      </w:r>
      <w:r>
        <w:rPr>
          <w:rtl w:val="0"/>
        </w:rPr>
      </w:r>
    </w:p>
    <w:p w:rsidR="00000000" w:rsidDel="00000000" w:rsidP="00000000" w:rsidRDefault="00000000" w:rsidRPr="00000000" w14:paraId="00000002">
      <w:pPr>
        <w:pBdr>
          <w:bottom w:color="444444" w:space="1" w:sz="8" w:val="single"/>
        </w:pBdr>
        <w:spacing w:after="100" w:lineRule="auto"/>
        <w:rPr/>
      </w:pPr>
      <w:r>
        <w:rPr>
          <w:rtl w:val="0"/>
        </w:rPr>
      </w:r>
    </w:p>
    <w:p w:rsidR="00000000" w:rsidDel="00000000" w:rsidP="00000000" w:rsidRDefault="00000000" w:rsidRPr="00000000" w14:paraId="00000003">
      <w:pPr>
        <w:spacing w:after="80" w:before="120" w:lineRule="auto"/>
        <w:rPr/>
      </w:pPr>
      <w:r>
        <w:rPr>
          <w:rFonts w:ascii="Arial" w:cs="Arial" w:eastAsia="Arial" w:hAnsi="Arial"/>
          <w:b w:val="0"/>
          <w:bCs w:val="0"/>
          <w:color w:val="000000"/>
          <w:sz w:val="18"/>
          <w:szCs w:val="18"/>
          <w:rtl w:val="0"/>
        </w:rPr>
        <w:t xml:space="preserve">A portfolio of evidence consists of student-produced artifacts demonstrating proficiency against a badge’s Content &amp; Practice Expectations (CPEs). Artifacts are collected from student work aligned to each badge. Students curate work, write reflections, and revise through teacher-student conferencing until their work meets badge expectations.</w:t>
      </w:r>
      <w:r>
        <w:rPr>
          <w:rtl w:val="0"/>
        </w:rPr>
      </w:r>
    </w:p>
    <w:p w:rsidR="00000000" w:rsidDel="00000000" w:rsidP="00000000" w:rsidRDefault="00000000" w:rsidRPr="00000000" w14:paraId="00000004">
      <w:pPr>
        <w:spacing w:after="80" w:before="120" w:lineRule="auto"/>
        <w:rPr/>
      </w:pPr>
      <w:r>
        <w:rPr>
          <w:rtl w:val="0"/>
        </w:rPr>
      </w:r>
    </w:p>
    <w:p w:rsidR="00000000" w:rsidDel="00000000" w:rsidP="00000000" w:rsidRDefault="00000000" w:rsidRPr="00000000" w14:paraId="00000005">
      <w:pPr>
        <w:spacing w:after="60" w:lineRule="auto"/>
        <w:rPr/>
      </w:pPr>
      <w:r>
        <w:rPr>
          <w:rFonts w:ascii="Arial" w:cs="Arial" w:eastAsia="Arial" w:hAnsi="Arial"/>
          <w:b w:val="0"/>
          <w:bCs w:val="0"/>
          <w:sz w:val="18"/>
          <w:szCs w:val="18"/>
          <w:rtl w:val="0"/>
        </w:rPr>
        <w:t xml:space="preserve">For each CPE, you will review the student’s work and </w:t>
      </w:r>
      <w:r>
        <w:rPr>
          <w:rFonts w:ascii="Arial" w:cs="Arial" w:eastAsia="Arial" w:hAnsi="Arial"/>
          <w:b w:val="0"/>
          <w:bCs w:val="0"/>
          <w:color w:val="000000"/>
          <w:sz w:val="18"/>
          <w:szCs w:val="18"/>
          <w:rtl w:val="0"/>
        </w:rPr>
        <w:t xml:space="preserve">select the category that best reflects their current level of demonstrated understanding</w:t>
      </w:r>
      <w:r>
        <w:rPr>
          <w:rFonts w:ascii="Arial" w:cs="Arial" w:eastAsia="Arial" w:hAnsi="Arial"/>
          <w:b w:val="0"/>
          <w:bCs w:val="0"/>
          <w:sz w:val="18"/>
          <w:szCs w:val="18"/>
          <w:rtl w:val="0"/>
        </w:rPr>
        <w:t xml:space="preserve">. (Performance indicators are listed below to help clarify the expectations for each CPE, but evaluation should be made at the CPE level.)</w:t>
      </w:r>
      <w:r>
        <w:rPr>
          <w:rtl w:val="0"/>
        </w:rPr>
      </w:r>
    </w:p>
    <w:tbl>
      <w:tblPr>
        <w:tblStyle w:val="Table1"/>
        <w:tblW w:w="14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4800"/>
        <w:gridCol w:w="4800"/>
        <w:gridCol w:w="4800"/>
        <w:tblGridChange w:id="0">
          <w:tblGrid>
            <w:gridCol w:w="4800"/>
            <w:gridCol w:w="4800"/>
            <w:gridCol w:w="4800"/>
          </w:tblGrid>
        </w:tblGridChange>
      </w:tblGrid>
      <w:tr>
        <w:trPr>
          <w:cantSplit w:val="0"/>
          <w:tblHeader w:val="0"/>
        </w:trPr>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6">
            <w:pPr>
              <w:rPr/>
            </w:pPr>
            <w:r>
              <w:rPr>
                <w:rFonts w:ascii="Arial Unicode MS" w:cs="Arial Unicode MS" w:eastAsia="Arial Unicode MS" w:hAnsi="Arial Unicode MS"/>
                <w:b w:val="1"/>
                <w:bCs w:val="1"/>
                <w:color w:val="000000"/>
                <w:sz w:val="20"/>
                <w:szCs w:val="20"/>
                <w:rtl w:val="0"/>
              </w:rPr>
              <w:t xml:space="preserve">✓  Accept</w:t>
            </w:r>
            <w:r>
              <w:rPr>
                <w:rtl w:val="0"/>
              </w:rPr>
            </w:r>
          </w:p>
          <w:p w:rsidR="00000000" w:rsidDel="00000000" w:rsidP="00000000" w:rsidRDefault="00000000" w:rsidRPr="00000000" w14:paraId="00000007">
            <w:pPr>
              <w:rPr/>
            </w:pPr>
            <w:r>
              <w:rPr>
                <w:rFonts w:ascii="Arial" w:cs="Arial" w:eastAsia="Arial" w:hAnsi="Arial"/>
                <w:b w:val="0"/>
                <w:bCs w:val="0"/>
                <w:color w:val="000000"/>
                <w:sz w:val="17"/>
                <w:szCs w:val="17"/>
                <w:rtl w:val="0"/>
              </w:rPr>
              <w:t xml:space="preserve">Student work demonstrates strong understanding and fully meets expectations for this CPE.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8">
            <w:pPr>
              <w:rPr/>
            </w:pPr>
            <w:r>
              <w:rPr>
                <w:rFonts w:ascii="Arial" w:cs="Arial" w:eastAsia="Arial" w:hAnsi="Arial"/>
                <w:b w:val="1"/>
                <w:bCs w:val="1"/>
                <w:color w:val="000000"/>
                <w:sz w:val="20"/>
                <w:szCs w:val="20"/>
                <w:rtl w:val="0"/>
              </w:rPr>
              <w:t xml:space="preserve">△  Accept with Revision</w:t>
            </w:r>
            <w:r>
              <w:rPr>
                <w:rtl w:val="0"/>
              </w:rPr>
            </w:r>
          </w:p>
          <w:p w:rsidR="00000000" w:rsidDel="00000000" w:rsidP="00000000" w:rsidRDefault="00000000" w:rsidRPr="00000000" w14:paraId="00000009">
            <w:pPr>
              <w:rPr/>
            </w:pPr>
            <w:r>
              <w:rPr>
                <w:rFonts w:ascii="Arial" w:cs="Arial" w:eastAsia="Arial" w:hAnsi="Arial"/>
                <w:b w:val="0"/>
                <w:bCs w:val="0"/>
                <w:color w:val="000000"/>
                <w:sz w:val="17"/>
                <w:szCs w:val="17"/>
                <w:rtl w:val="0"/>
              </w:rPr>
              <w:t xml:space="preserve">Student work shows good understanding but could be strengthened in specific areas. Targeted revision needed.</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0A">
            <w:pPr>
              <w:rPr/>
            </w:pPr>
            <w:r>
              <w:rPr>
                <w:rFonts w:ascii="Arial" w:cs="Arial" w:eastAsia="Arial" w:hAnsi="Arial"/>
                <w:b w:val="1"/>
                <w:bCs w:val="1"/>
                <w:color w:val="000000"/>
                <w:sz w:val="20"/>
                <w:szCs w:val="20"/>
                <w:rtl w:val="0"/>
              </w:rPr>
              <w:t xml:space="preserve">◯  Conference &amp; Revision Support</w:t>
            </w:r>
            <w:r>
              <w:rPr>
                <w:rtl w:val="0"/>
              </w:rPr>
            </w:r>
          </w:p>
          <w:p w:rsidR="00000000" w:rsidDel="00000000" w:rsidP="00000000" w:rsidRDefault="00000000" w:rsidRPr="00000000" w14:paraId="0000000B">
            <w:pPr>
              <w:rPr/>
            </w:pPr>
            <w:r>
              <w:rPr>
                <w:rFonts w:ascii="Arial" w:cs="Arial" w:eastAsia="Arial" w:hAnsi="Arial"/>
                <w:b w:val="0"/>
                <w:bCs w:val="0"/>
                <w:color w:val="000000"/>
                <w:sz w:val="17"/>
                <w:szCs w:val="17"/>
                <w:rtl w:val="0"/>
              </w:rPr>
              <w:t xml:space="preserve">Student work shows emerging understanding. Schedule a student-teacher conference to plan next steps.</w:t>
            </w:r>
            <w:r>
              <w:rPr>
                <w:rtl w:val="0"/>
              </w:rPr>
            </w:r>
          </w:p>
        </w:tc>
      </w:tr>
    </w:tbl>
    <w:p w:rsidR="00000000" w:rsidDel="00000000" w:rsidP="00000000" w:rsidRDefault="00000000" w:rsidRPr="00000000" w14:paraId="0000000C">
      <w:pPr>
        <w:spacing w:after="80" w:before="200" w:lineRule="auto"/>
        <w:rPr>
          <w:b w:val="1"/>
          <w:bCs w:val="1"/>
        </w:rPr>
      </w:pPr>
      <w:r>
        <w:rPr>
          <w:rtl w:val="0"/>
        </w:rPr>
      </w:r>
    </w:p>
    <w:p w:rsidR="00000000" w:rsidDel="00000000" w:rsidP="00000000" w:rsidRDefault="00000000" w:rsidRPr="00000000" w14:paraId="0000000D">
      <w:pPr>
        <w:spacing w:after="80" w:before="200" w:lineRule="auto"/>
        <w:rPr/>
      </w:pPr>
      <w:r>
        <w:rPr>
          <w:rFonts w:ascii="Arial" w:cs="Arial" w:eastAsia="Arial" w:hAnsi="Arial"/>
          <w:b w:val="1"/>
          <w:bCs w:val="1"/>
          <w:i w:val="1"/>
          <w:iCs w:val="1"/>
          <w:rtl w:val="0"/>
        </w:rPr>
        <w:t xml:space="preserve">Note:</w:t>
      </w:r>
      <w:r>
        <w:rPr>
          <w:rFonts w:ascii="Arial" w:cs="Arial" w:eastAsia="Arial" w:hAnsi="Arial"/>
          <w:b w:val="1"/>
          <w:bCs w:val="1"/>
          <w:rtl w:val="0"/>
        </w:rPr>
        <w:t xml:space="preserve"> The below rubric is intended as a starting point for assessing student work against content and practice expectations (CPEs). Feel free to incorporate it into an existing rubric or evaluation system or adapt it to suit your needs.</w:t>
      </w:r>
      <w:r>
        <w:rPr>
          <w:rtl w:val="0"/>
        </w:rPr>
      </w:r>
    </w:p>
    <w:p w:rsidR="00000000" w:rsidDel="00000000" w:rsidP="00000000" w:rsidRDefault="00000000" w:rsidRPr="00000000" w14:paraId="0000000E">
      <w:pPr>
        <w:spacing w:after="80" w:before="200" w:lineRule="auto"/>
        <w:rPr>
          <w:b w:val="1"/>
          <w:bCs w:val="1"/>
        </w:rPr>
      </w:pPr>
      <w:r>
        <w:rPr>
          <w:rtl w:val="0"/>
        </w:rPr>
      </w:r>
    </w:p>
    <w:tbl>
      <w:tblPr>
        <w:tblStyle w:val="Table2"/>
        <w:tblW w:w="132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400"/>
        <w:gridCol w:w="7185"/>
        <w:gridCol w:w="3675"/>
        <w:tblGridChange w:id="0">
          <w:tblGrid>
            <w:gridCol w:w="2400"/>
            <w:gridCol w:w="7185"/>
            <w:gridCol w:w="3675"/>
          </w:tblGrid>
        </w:tblGridChange>
      </w:tblGrid>
      <w:tr>
        <w:trPr>
          <w:cantSplit w:val="0"/>
          <w:tblHeader w:val="1"/>
        </w:trPr>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0F">
            <w:pPr>
              <w:jc w:val="center"/>
              <w:rPr/>
            </w:pPr>
            <w:r>
              <w:rPr>
                <w:rFonts w:ascii="Arial" w:cs="Arial" w:eastAsia="Arial" w:hAnsi="Arial"/>
                <w:b w:val="1"/>
                <w:bCs w:val="1"/>
                <w:color w:val="000000"/>
                <w:rtl w:val="0"/>
              </w:rPr>
              <w:t xml:space="preserve">CPE</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0">
            <w:pPr>
              <w:jc w:val="center"/>
              <w:rPr/>
            </w:pPr>
            <w:r>
              <w:rPr>
                <w:rFonts w:ascii="Arial" w:cs="Arial" w:eastAsia="Arial" w:hAnsi="Arial"/>
                <w:b w:val="1"/>
                <w:bCs w:val="1"/>
                <w:color w:val="000000"/>
                <w:rtl w:val="0"/>
              </w:rPr>
              <w:t xml:space="preserve">Performance Indicators</w:t>
            </w:r>
            <w:r>
              <w:rPr>
                <w:rtl w:val="0"/>
              </w:rPr>
            </w:r>
          </w:p>
        </w:tc>
        <w:tc>
          <w:tcPr>
            <w:tcBorders>
              <w:top w:color="888888" w:space="0" w:sz="4" w:val="single"/>
              <w:left w:color="888888" w:space="0" w:sz="4" w:val="single"/>
              <w:bottom w:color="888888" w:space="0" w:sz="4" w:val="single"/>
              <w:right w:color="888888" w:space="0" w:sz="4" w:val="single"/>
            </w:tcBorders>
            <w:shd w:fill="eeeeee" w:val="clear"/>
            <w:tcMar>
              <w:top w:w="80" w:type="dxa"/>
              <w:left w:w="120" w:type="dxa"/>
              <w:bottom w:w="80" w:type="dxa"/>
              <w:right w:w="120" w:type="dxa"/>
            </w:tcMar>
            <w:vAlign w:val="center"/>
          </w:tcPr>
          <w:p w:rsidR="00000000" w:rsidDel="00000000" w:rsidP="00000000" w:rsidRDefault="00000000" w:rsidRPr="00000000" w14:paraId="00000011">
            <w:pPr>
              <w:jc w:val="center"/>
              <w:rPr/>
            </w:pPr>
            <w:r>
              <w:rPr>
                <w:rFonts w:ascii="Arial" w:cs="Arial" w:eastAsia="Arial" w:hAnsi="Arial"/>
                <w:b w:val="1"/>
                <w:bCs w:val="1"/>
                <w:rtl w:val="0"/>
              </w:rPr>
              <w:t xml:space="preserve">Evaluation of Mastery (Accept, Accept with Revision, Conference &amp; Revision Support) </w:t>
            </w: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2">
            <w:pPr>
              <w:jc w:val="center"/>
              <w:rPr/>
            </w:pPr>
            <w:r>
              <w:rPr>
                <w:rFonts w:ascii="Arial" w:cs="Arial" w:eastAsia="Arial" w:hAnsi="Arial"/>
                <w:b w:val="1"/>
                <w:bCs w:val="1"/>
                <w:color w:val="000000"/>
                <w:sz w:val="20"/>
                <w:szCs w:val="20"/>
                <w:rtl w:val="0"/>
              </w:rPr>
              <w:t xml:space="preserve">205.a</w:t>
            </w:r>
            <w:r>
              <w:rPr>
                <w:rtl w:val="0"/>
              </w:rPr>
            </w:r>
          </w:p>
          <w:p w:rsidR="00000000" w:rsidDel="00000000" w:rsidP="00000000" w:rsidRDefault="00000000" w:rsidRPr="00000000" w14:paraId="00000013">
            <w:pPr>
              <w:spacing w:before="40" w:lineRule="auto"/>
              <w:jc w:val="center"/>
              <w:rPr/>
            </w:pPr>
            <w:r>
              <w:rPr>
                <w:rFonts w:ascii="Arial" w:cs="Arial" w:eastAsia="Arial" w:hAnsi="Arial"/>
                <w:b w:val="0"/>
                <w:bCs w:val="0"/>
                <w:color w:val="000000"/>
                <w:sz w:val="16"/>
                <w:szCs w:val="16"/>
                <w:rtl w:val="0"/>
              </w:rPr>
              <w:t xml:space="preserve">Understand radian measure of an angle as the length of the arc on the unit circle subtended by the angle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4">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use the definition of a radian to explain radian measure.</w:t>
            </w:r>
            <w:r>
              <w:rPr>
                <w:rtl w:val="0"/>
              </w:rPr>
            </w:r>
          </w:p>
          <w:p w:rsidR="00000000" w:rsidDel="00000000" w:rsidP="00000000" w:rsidRDefault="00000000" w:rsidRPr="00000000" w14:paraId="00000015">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explain what an angle given with a measure in degrees would be in radians.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6">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7">
            <w:pPr>
              <w:jc w:val="center"/>
              <w:rPr/>
            </w:pPr>
            <w:r>
              <w:rPr>
                <w:rFonts w:ascii="Arial" w:cs="Arial" w:eastAsia="Arial" w:hAnsi="Arial"/>
                <w:b w:val="1"/>
                <w:bCs w:val="1"/>
                <w:color w:val="000000"/>
                <w:sz w:val="20"/>
                <w:szCs w:val="20"/>
                <w:rtl w:val="0"/>
              </w:rPr>
              <w:t xml:space="preserve">205.b</w:t>
            </w:r>
            <w:r>
              <w:rPr>
                <w:rtl w:val="0"/>
              </w:rPr>
            </w:r>
          </w:p>
          <w:p w:rsidR="00000000" w:rsidDel="00000000" w:rsidP="00000000" w:rsidRDefault="00000000" w:rsidRPr="00000000" w14:paraId="00000018">
            <w:pPr>
              <w:spacing w:before="40" w:lineRule="auto"/>
              <w:jc w:val="center"/>
              <w:rPr/>
            </w:pPr>
            <w:r>
              <w:rPr>
                <w:rFonts w:ascii="Arial" w:cs="Arial" w:eastAsia="Arial" w:hAnsi="Arial"/>
                <w:b w:val="0"/>
                <w:bCs w:val="0"/>
                <w:color w:val="000000"/>
                <w:sz w:val="16"/>
                <w:szCs w:val="16"/>
                <w:rtl w:val="0"/>
              </w:rPr>
              <w:t xml:space="preserve">Explain how the unit circle in the coordinate plane enables the extension of trigonometric functions to all real numbers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9">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explain how radians lead to a dimensionless number that makes it possible to extend the domain of trigonometric functions.</w:t>
            </w:r>
            <w:r>
              <w:rPr>
                <w:rtl w:val="0"/>
              </w:rPr>
            </w:r>
          </w:p>
          <w:p w:rsidR="00000000" w:rsidDel="00000000" w:rsidP="00000000" w:rsidRDefault="00000000" w:rsidRPr="00000000" w14:paraId="0000001A">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the unit circle to justify the value of sine, cosine, or tangent for an angle that is greater than 90 degrees.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1B">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1C">
            <w:pPr>
              <w:jc w:val="center"/>
              <w:rPr/>
            </w:pPr>
            <w:r>
              <w:rPr>
                <w:rFonts w:ascii="Arial" w:cs="Arial" w:eastAsia="Arial" w:hAnsi="Arial"/>
                <w:b w:val="1"/>
                <w:bCs w:val="1"/>
                <w:color w:val="000000"/>
                <w:sz w:val="20"/>
                <w:szCs w:val="20"/>
                <w:rtl w:val="0"/>
              </w:rPr>
              <w:t xml:space="preserve">205.c</w:t>
            </w:r>
            <w:r>
              <w:rPr>
                <w:rtl w:val="0"/>
              </w:rPr>
            </w:r>
          </w:p>
          <w:p w:rsidR="00000000" w:rsidDel="00000000" w:rsidP="00000000" w:rsidRDefault="00000000" w:rsidRPr="00000000" w14:paraId="0000001D">
            <w:pPr>
              <w:spacing w:before="40" w:lineRule="auto"/>
              <w:jc w:val="center"/>
              <w:rPr/>
            </w:pPr>
            <w:r>
              <w:rPr>
                <w:rFonts w:ascii="Arial" w:cs="Arial" w:eastAsia="Arial" w:hAnsi="Arial"/>
                <w:b w:val="0"/>
                <w:bCs w:val="0"/>
                <w:color w:val="000000"/>
                <w:sz w:val="16"/>
                <w:szCs w:val="16"/>
                <w:rtl w:val="0"/>
              </w:rPr>
              <w:t xml:space="preserve">Use the unit circle to explain symmetry (odd and even) and periodicity of trigonometric functions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1E">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describe the symmetry of a trigonometric function.</w:t>
            </w:r>
            <w:r>
              <w:rPr>
                <w:rtl w:val="0"/>
              </w:rPr>
            </w:r>
          </w:p>
          <w:p w:rsidR="00000000" w:rsidDel="00000000" w:rsidP="00000000" w:rsidRDefault="00000000" w:rsidRPr="00000000" w14:paraId="0000001F">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the unit circle to explain why a trigonometric function has symmetry.</w:t>
            </w:r>
            <w:r>
              <w:rPr>
                <w:rtl w:val="0"/>
              </w:rPr>
            </w:r>
          </w:p>
          <w:p w:rsidR="00000000" w:rsidDel="00000000" w:rsidP="00000000" w:rsidRDefault="00000000" w:rsidRPr="00000000" w14:paraId="00000020">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describe the periodicity of a trigonometric function.</w:t>
            </w:r>
            <w:r>
              <w:rPr>
                <w:rtl w:val="0"/>
              </w:rPr>
            </w:r>
          </w:p>
          <w:p w:rsidR="00000000" w:rsidDel="00000000" w:rsidP="00000000" w:rsidRDefault="00000000" w:rsidRPr="00000000" w14:paraId="00000021">
            <w:pPr>
              <w:spacing w:after="60" w:lineRule="auto"/>
              <w:rPr/>
            </w:pPr>
            <w:r>
              <w:rPr>
                <w:rFonts w:ascii="Arial" w:cs="Arial" w:eastAsia="Arial" w:hAnsi="Arial"/>
                <w:b w:val="1"/>
                <w:bCs w:val="1"/>
                <w:color w:val="000000"/>
                <w:sz w:val="18"/>
                <w:szCs w:val="18"/>
                <w:rtl w:val="0"/>
              </w:rPr>
              <w:t xml:space="preserve">iv. </w:t>
            </w:r>
            <w:r>
              <w:rPr>
                <w:rFonts w:ascii="Arial" w:cs="Arial" w:eastAsia="Arial" w:hAnsi="Arial"/>
                <w:b w:val="0"/>
                <w:bCs w:val="0"/>
                <w:color w:val="000000"/>
                <w:sz w:val="18"/>
                <w:szCs w:val="18"/>
                <w:rtl w:val="0"/>
              </w:rPr>
              <w:t xml:space="preserve">use the unit circle to explain why a trigonometric function is periodic.</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2">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3">
            <w:pPr>
              <w:jc w:val="center"/>
              <w:rPr/>
            </w:pPr>
            <w:r>
              <w:rPr>
                <w:rFonts w:ascii="Arial" w:cs="Arial" w:eastAsia="Arial" w:hAnsi="Arial"/>
                <w:b w:val="1"/>
                <w:bCs w:val="1"/>
                <w:color w:val="000000"/>
                <w:sz w:val="20"/>
                <w:szCs w:val="20"/>
                <w:rtl w:val="0"/>
              </w:rPr>
              <w:t xml:space="preserve">205.d</w:t>
            </w:r>
            <w:r>
              <w:rPr>
                <w:rtl w:val="0"/>
              </w:rPr>
            </w:r>
          </w:p>
          <w:p w:rsidR="00000000" w:rsidDel="00000000" w:rsidP="00000000" w:rsidRDefault="00000000" w:rsidRPr="00000000" w14:paraId="00000024">
            <w:pPr>
              <w:spacing w:before="40" w:lineRule="auto"/>
              <w:jc w:val="center"/>
              <w:rPr/>
            </w:pPr>
            <w:r>
              <w:rPr>
                <w:rFonts w:ascii="Arial" w:cs="Arial" w:eastAsia="Arial" w:hAnsi="Arial"/>
                <w:b w:val="0"/>
                <w:bCs w:val="0"/>
                <w:color w:val="000000"/>
                <w:sz w:val="16"/>
                <w:szCs w:val="16"/>
                <w:rtl w:val="0"/>
              </w:rPr>
              <w:t xml:space="preserve">Analyze trigonometric functions using different representations</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5">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the graph of a trigonometric function.</w:t>
            </w:r>
            <w:r>
              <w:rPr>
                <w:rtl w:val="0"/>
              </w:rPr>
            </w:r>
          </w:p>
          <w:p w:rsidR="00000000" w:rsidDel="00000000" w:rsidP="00000000" w:rsidRDefault="00000000" w:rsidRPr="00000000" w14:paraId="00000026">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identify key features of the graph of a trigonometric function, such as its period, amplitude, and frequency, and connect these features back to the context of the problem.</w:t>
            </w:r>
            <w:r>
              <w:rPr>
                <w:rtl w:val="0"/>
              </w:rPr>
            </w:r>
          </w:p>
          <w:p w:rsidR="00000000" w:rsidDel="00000000" w:rsidP="00000000" w:rsidRDefault="00000000" w:rsidRPr="00000000" w14:paraId="00000027">
            <w:pPr>
              <w:spacing w:after="60" w:lineRule="auto"/>
              <w:rPr/>
            </w:pPr>
            <w:r>
              <w:rPr>
                <w:rFonts w:ascii="Arial" w:cs="Arial" w:eastAsia="Arial" w:hAnsi="Arial"/>
                <w:b w:val="1"/>
                <w:bCs w:val="1"/>
                <w:color w:val="000000"/>
                <w:sz w:val="18"/>
                <w:szCs w:val="18"/>
                <w:rtl w:val="0"/>
              </w:rPr>
              <w:t xml:space="preserve">iii. </w:t>
            </w:r>
            <w:r>
              <w:rPr>
                <w:rFonts w:ascii="Arial" w:cs="Arial" w:eastAsia="Arial" w:hAnsi="Arial"/>
                <w:b w:val="0"/>
                <w:bCs w:val="0"/>
                <w:color w:val="000000"/>
                <w:sz w:val="18"/>
                <w:szCs w:val="18"/>
                <w:rtl w:val="0"/>
              </w:rPr>
              <w:t xml:space="preserve">explain the relationship between the parameters of a trigonometric function and its graph.</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8">
            <w:pPr>
              <w:jc w:val="center"/>
              <w:rPr/>
            </w:pPr>
            <w:r>
              <w:rPr>
                <w:rtl w:val="0"/>
              </w:rPr>
            </w:r>
          </w:p>
        </w:tc>
      </w:tr>
      <w:tr>
        <w:trPr>
          <w:cantSplit w:val="0"/>
          <w:tblHeader w:val="0"/>
        </w:trPr>
        <w:tc>
          <w:tcPr>
            <w:tcBorders>
              <w:top w:color="888888" w:space="0" w:sz="4" w:val="single"/>
              <w:left w:color="888888" w:space="0" w:sz="4" w:val="single"/>
              <w:bottom w:color="888888" w:space="0" w:sz="4" w:val="single"/>
              <w:right w:color="888888" w:space="0" w:sz="4" w:val="single"/>
            </w:tcBorders>
            <w:shd w:fill="eeeeee" w:val="clear"/>
            <w:tcMar>
              <w:top w:w="100" w:type="dxa"/>
              <w:left w:w="140" w:type="dxa"/>
              <w:bottom w:w="100" w:type="dxa"/>
              <w:right w:w="120" w:type="dxa"/>
            </w:tcMar>
            <w:vAlign w:val="top"/>
          </w:tcPr>
          <w:p w:rsidR="00000000" w:rsidDel="00000000" w:rsidP="00000000" w:rsidRDefault="00000000" w:rsidRPr="00000000" w14:paraId="00000029">
            <w:pPr>
              <w:jc w:val="center"/>
              <w:rPr/>
            </w:pPr>
            <w:r>
              <w:rPr>
                <w:rFonts w:ascii="Arial" w:cs="Arial" w:eastAsia="Arial" w:hAnsi="Arial"/>
                <w:b w:val="1"/>
                <w:bCs w:val="1"/>
                <w:color w:val="000000"/>
                <w:sz w:val="20"/>
                <w:szCs w:val="20"/>
                <w:rtl w:val="0"/>
              </w:rPr>
              <w:t xml:space="preserve">205.e</w:t>
            </w:r>
            <w:r>
              <w:rPr>
                <w:rtl w:val="0"/>
              </w:rPr>
            </w:r>
          </w:p>
          <w:p w:rsidR="00000000" w:rsidDel="00000000" w:rsidP="00000000" w:rsidRDefault="00000000" w:rsidRPr="00000000" w14:paraId="0000002A">
            <w:pPr>
              <w:spacing w:before="40" w:lineRule="auto"/>
              <w:jc w:val="center"/>
              <w:rPr/>
            </w:pPr>
            <w:r>
              <w:rPr>
                <w:rFonts w:ascii="Arial" w:cs="Arial" w:eastAsia="Arial" w:hAnsi="Arial"/>
                <w:b w:val="0"/>
                <w:bCs w:val="0"/>
                <w:color w:val="000000"/>
                <w:sz w:val="16"/>
                <w:szCs w:val="16"/>
                <w:rtl w:val="0"/>
              </w:rPr>
              <w:t xml:space="preserve">Use trigonometric functions to model periodic phenomena with specified amplitude, frequency, and midline</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40" w:type="dxa"/>
              <w:bottom w:w="80" w:type="dxa"/>
              <w:right w:w="120" w:type="dxa"/>
            </w:tcMar>
            <w:vAlign w:val="top"/>
          </w:tcPr>
          <w:p w:rsidR="00000000" w:rsidDel="00000000" w:rsidP="00000000" w:rsidRDefault="00000000" w:rsidRPr="00000000" w14:paraId="0000002B">
            <w:pPr>
              <w:spacing w:after="60" w:lineRule="auto"/>
              <w:rPr/>
            </w:pPr>
            <w:r>
              <w:rPr>
                <w:rFonts w:ascii="Arial" w:cs="Arial" w:eastAsia="Arial" w:hAnsi="Arial"/>
                <w:b w:val="1"/>
                <w:bCs w:val="1"/>
                <w:color w:val="000000"/>
                <w:sz w:val="18"/>
                <w:szCs w:val="18"/>
                <w:rtl w:val="0"/>
              </w:rPr>
              <w:t xml:space="preserve">i. </w:t>
            </w:r>
            <w:r>
              <w:rPr>
                <w:rFonts w:ascii="Arial" w:cs="Arial" w:eastAsia="Arial" w:hAnsi="Arial"/>
                <w:b w:val="0"/>
                <w:bCs w:val="0"/>
                <w:color w:val="000000"/>
                <w:sz w:val="18"/>
                <w:szCs w:val="18"/>
                <w:rtl w:val="0"/>
              </w:rPr>
              <w:t xml:space="preserve">create a trigonometric function to model a real-world situation.</w:t>
            </w:r>
            <w:r>
              <w:rPr>
                <w:rtl w:val="0"/>
              </w:rPr>
            </w:r>
          </w:p>
          <w:p w:rsidR="00000000" w:rsidDel="00000000" w:rsidP="00000000" w:rsidRDefault="00000000" w:rsidRPr="00000000" w14:paraId="0000002C">
            <w:pPr>
              <w:spacing w:after="60" w:lineRule="auto"/>
              <w:rPr/>
            </w:pPr>
            <w:r>
              <w:rPr>
                <w:rFonts w:ascii="Arial" w:cs="Arial" w:eastAsia="Arial" w:hAnsi="Arial"/>
                <w:b w:val="1"/>
                <w:bCs w:val="1"/>
                <w:color w:val="000000"/>
                <w:sz w:val="18"/>
                <w:szCs w:val="18"/>
                <w:rtl w:val="0"/>
              </w:rPr>
              <w:t xml:space="preserve">ii. </w:t>
            </w:r>
            <w:r>
              <w:rPr>
                <w:rFonts w:ascii="Arial" w:cs="Arial" w:eastAsia="Arial" w:hAnsi="Arial"/>
                <w:b w:val="0"/>
                <w:bCs w:val="0"/>
                <w:color w:val="000000"/>
                <w:sz w:val="18"/>
                <w:szCs w:val="18"/>
                <w:rtl w:val="0"/>
              </w:rPr>
              <w:t xml:space="preserve">use a trigonometric function to answer a question about a real-world situation.</w:t>
            </w:r>
            <w:r>
              <w:rPr>
                <w:rtl w:val="0"/>
              </w:rPr>
            </w:r>
          </w:p>
        </w:tc>
        <w:tc>
          <w:tcPr>
            <w:tcBorders>
              <w:top w:color="888888" w:space="0" w:sz="4" w:val="single"/>
              <w:left w:color="888888" w:space="0" w:sz="4" w:val="single"/>
              <w:bottom w:color="888888" w:space="0" w:sz="4" w:val="single"/>
              <w:right w:color="888888" w:space="0" w:sz="4" w:val="single"/>
            </w:tcBorders>
            <w:shd w:fill="ffffff" w:val="clear"/>
            <w:tcMar>
              <w:top w:w="80" w:type="dxa"/>
              <w:left w:w="120" w:type="dxa"/>
              <w:bottom w:w="80" w:type="dxa"/>
              <w:right w:w="120" w:type="dxa"/>
            </w:tcMar>
            <w:vAlign w:val="center"/>
          </w:tcPr>
          <w:p w:rsidR="00000000" w:rsidDel="00000000" w:rsidP="00000000" w:rsidRDefault="00000000" w:rsidRPr="00000000" w14:paraId="0000002D">
            <w:pPr>
              <w:jc w:val="center"/>
              <w:rPr/>
            </w:pPr>
            <w:r>
              <w:rPr>
                <w:rtl w:val="0"/>
              </w:rPr>
            </w:r>
          </w:p>
        </w:tc>
      </w:tr>
    </w:tbl>
    <w:p w:rsidR="00000000" w:rsidDel="00000000" w:rsidP="00000000" w:rsidRDefault="00000000" w:rsidRPr="00000000" w14:paraId="0000002E">
      <w:pPr>
        <w:spacing w:before="200" w:lineRule="auto"/>
        <w:rPr/>
      </w:pPr>
      <w:r>
        <w:rPr>
          <w:rtl w:val="0"/>
        </w:rPr>
      </w:r>
    </w:p>
    <w:p w:rsidR="00000000" w:rsidDel="00000000" w:rsidP="00000000" w:rsidRDefault="00000000" w:rsidRPr="00000000" w14:paraId="0000002F">
      <w:pPr>
        <w:jc w:val="right"/>
        <w:rPr/>
      </w:pPr>
      <w:r>
        <w:rPr>
          <w:rFonts w:ascii="Arial" w:cs="Arial" w:eastAsia="Arial" w:hAnsi="Arial"/>
          <w:b w:val="0"/>
          <w:bCs w:val="0"/>
          <w:i w:val="1"/>
          <w:iCs w:val="1"/>
          <w:color w:val="666666"/>
          <w:sz w:val="16"/>
          <w:szCs w:val="16"/>
          <w:rtl w:val="0"/>
        </w:rPr>
        <w:t xml:space="preserve">© 2021–2026 XQ Institute</w:t>
      </w:r>
      <w:r>
        <w:rPr>
          <w:rtl w:val="0"/>
        </w:rPr>
      </w:r>
    </w:p>
    <w:sectPr>
      <w:pgSz w:h="12240" w:w="15840"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240" w:line="240" w:lineRule="auto"/>
      <w:ind w:left="0" w:right="0" w:firstLine="0"/>
      <w:jc w:val="left"/>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Heading2">
    <w:name w:val="heading 2"/>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00" w:before="200" w:line="240" w:lineRule="auto"/>
      <w:ind w:left="0" w:right="0" w:firstLine="0"/>
      <w:jc w:val="left"/>
    </w:pPr>
    <w:rPr>
      <w:rFonts w:ascii="Arial" w:cs="Arial" w:eastAsia="Arial" w:hAnsi="Arial"/>
      <w:b w:val="1"/>
      <w:bCs w:val="1"/>
      <w:i w:val="0"/>
      <w:iCs w:val="0"/>
      <w:smallCaps w:val="0"/>
      <w:strike w:val="0"/>
      <w:color w:val="000000"/>
      <w:sz w:val="26"/>
      <w:szCs w:val="26"/>
      <w:u w:val="none"/>
      <w:shd w:fill="auto" w:val="clear"/>
      <w:vertAlign w:val="baseline"/>
    </w:rPr>
  </w:style>
  <w:style w:type="paragraph" w:styleId="Heading3">
    <w:name w:val="heading 3"/>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4"/>
      <w:szCs w:val="24"/>
      <w:u w:val="none"/>
      <w:shd w:fill="auto" w:val="clear"/>
      <w:vertAlign w:val="baseline"/>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0"/>
      <w:szCs w:val="20"/>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0"/>
      <w:szCs w:val="20"/>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0"/>
      <w:szCs w:val="20"/>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000000"/>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