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rFonts w:ascii="IBM Plex Sans" w:cs="IBM Plex Sans" w:eastAsia="IBM Plex Sans" w:hAnsi="IBM Plex Sans"/>
          <w:b w:val="1"/>
          <w:sz w:val="28"/>
          <w:szCs w:val="28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sz w:val="28"/>
          <w:szCs w:val="28"/>
          <w:rtl w:val="0"/>
        </w:rPr>
        <w:t xml:space="preserve">Example 1: Eco-Friendly Product</w:t>
      </w:r>
    </w:p>
    <w:p w:rsidR="00000000" w:rsidDel="00000000" w:rsidP="00000000" w:rsidRDefault="00000000" w:rsidRPr="00000000" w14:paraId="00000002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530.0" w:type="dxa"/>
        <w:jc w:val="left"/>
        <w:tblInd w:w="-545.0" w:type="dxa"/>
        <w:tblBorders>
          <w:top w:color="000000" w:space="0" w:sz="24" w:val="single"/>
          <w:left w:color="000000" w:space="0" w:sz="24" w:val="single"/>
          <w:bottom w:color="000000" w:space="0" w:sz="24" w:val="single"/>
          <w:right w:color="000000" w:space="0" w:sz="2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00"/>
        <w:gridCol w:w="900"/>
        <w:gridCol w:w="3330"/>
        <w:tblGridChange w:id="0">
          <w:tblGrid>
            <w:gridCol w:w="6300"/>
            <w:gridCol w:w="900"/>
            <w:gridCol w:w="3330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bottom w:color="000000" w:space="0" w:sz="24" w:val="single"/>
            </w:tcBorders>
            <w:shd w:fill="8ed873" w:val="clear"/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KG Be Still And Know" w:cs="KG Be Still And Know" w:eastAsia="KG Be Still And Know" w:hAnsi="KG Be Still And Know"/>
                <w:b w:val="1"/>
                <w:sz w:val="32"/>
                <w:szCs w:val="32"/>
                <w:rtl w:val="0"/>
              </w:rPr>
              <w:t xml:space="preserve">Part 1:</w:t>
            </w:r>
            <w:r w:rsidDel="00000000" w:rsidR="00000000" w:rsidRPr="00000000">
              <w:rPr>
                <w:rFonts w:ascii="Aptos" w:cs="Aptos" w:eastAsia="Aptos" w:hAnsi="Aptos"/>
                <w:sz w:val="32"/>
                <w:szCs w:val="32"/>
                <w:rtl w:val="0"/>
              </w:rPr>
              <w:t xml:space="preserve"> Design Phase (Option 1—Game Controller)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24" w:val="single"/>
              <w:bottom w:color="000000" w:space="0" w:sz="24" w:val="single"/>
              <w:right w:color="000000" w:space="0" w:sz="4" w:val="dotted"/>
            </w:tcBorders>
          </w:tcPr>
          <w:p w:rsidR="00000000" w:rsidDel="00000000" w:rsidP="00000000" w:rsidRDefault="00000000" w:rsidRPr="00000000" w14:paraId="00000006">
            <w:pPr>
              <w:spacing w:after="240" w:line="240" w:lineRule="auto"/>
              <w:rPr>
                <w:rFonts w:ascii="Janda Safe and Sound" w:cs="Janda Safe and Sound" w:eastAsia="Janda Safe and Sound" w:hAnsi="Janda Safe and Sound"/>
                <w:sz w:val="32"/>
                <w:szCs w:val="32"/>
              </w:rPr>
            </w:pPr>
            <w:r w:rsidDel="00000000" w:rsidR="00000000" w:rsidRPr="00000000">
              <w:rPr>
                <w:rFonts w:ascii="Janda Safe and Sound" w:cs="Janda Safe and Sound" w:eastAsia="Janda Safe and Sound" w:hAnsi="Janda Safe and Sound"/>
                <w:color w:val="1f1f1f"/>
                <w:rtl w:val="0"/>
              </w:rPr>
              <w:t xml:space="preserve">You are a small business owner and you will create a new controller (or gaming device) for your favorite gaming system. You plan to sell your product on an online store to reach a greater market.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spacing w:before="240" w:line="240" w:lineRule="auto"/>
              <w:ind w:left="720" w:hanging="360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color w:val="0d0d0d"/>
                <w:sz w:val="24"/>
                <w:szCs w:val="24"/>
                <w:highlight w:val="white"/>
                <w:rtl w:val="0"/>
              </w:rPr>
              <w:t xml:space="preserve">Consider the </w:t>
            </w:r>
            <w:r w:rsidDel="00000000" w:rsidR="00000000" w:rsidRPr="00000000">
              <w:rPr>
                <w:b w:val="1"/>
                <w:color w:val="0d0d0d"/>
                <w:sz w:val="24"/>
                <w:szCs w:val="24"/>
                <w:highlight w:val="white"/>
                <w:rtl w:val="0"/>
              </w:rPr>
              <w:t xml:space="preserve">qualities</w:t>
            </w:r>
            <w:r w:rsidDel="00000000" w:rsidR="00000000" w:rsidRPr="00000000">
              <w:rPr>
                <w:color w:val="0d0d0d"/>
                <w:sz w:val="24"/>
                <w:szCs w:val="24"/>
                <w:highlight w:val="white"/>
                <w:rtl w:val="0"/>
              </w:rPr>
              <w:t xml:space="preserve"> that make a controller effective for gaming and identify design elements that may hinder its usability.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spacing w:before="240" w:line="240" w:lineRule="auto"/>
              <w:ind w:left="720" w:hanging="360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rtl w:val="0"/>
              </w:rPr>
              <w:t xml:space="preserve">Create a rough </w:t>
            </w:r>
            <w:r w:rsidDel="00000000" w:rsidR="00000000" w:rsidRPr="00000000">
              <w:rPr>
                <w:b w:val="1"/>
                <w:color w:val="1f1f1f"/>
                <w:sz w:val="24"/>
                <w:szCs w:val="24"/>
                <w:rtl w:val="0"/>
              </w:rPr>
              <w:t xml:space="preserve">sketch</w:t>
            </w:r>
            <w:r w:rsidDel="00000000" w:rsidR="00000000" w:rsidRPr="00000000">
              <w:rPr>
                <w:color w:val="1f1f1f"/>
                <w:sz w:val="24"/>
                <w:szCs w:val="24"/>
                <w:rtl w:val="0"/>
              </w:rPr>
              <w:t xml:space="preserve"> of your controller or gaming device design. 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ind w:left="720" w:firstLine="0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i w:val="1"/>
                <w:color w:val="1f1f1f"/>
                <w:sz w:val="24"/>
                <w:szCs w:val="24"/>
                <w:rtl w:val="0"/>
              </w:rPr>
              <w:t xml:space="preserve">Consider the shapes you’ll use in your redesign: a prism, cone, pyramid, or some combination of these shapes [or any three-dimensional geometric figure you can describe.]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before="240" w:line="240" w:lineRule="auto"/>
              <w:ind w:left="720" w:hanging="360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rtl w:val="0"/>
              </w:rPr>
              <w:t xml:space="preserve">Determine the </w:t>
            </w:r>
            <w:r w:rsidDel="00000000" w:rsidR="00000000" w:rsidRPr="00000000">
              <w:rPr>
                <w:b w:val="1"/>
                <w:color w:val="1f1f1f"/>
                <w:sz w:val="24"/>
                <w:szCs w:val="24"/>
                <w:rtl w:val="0"/>
              </w:rPr>
              <w:t xml:space="preserve">size/dimensions</w:t>
            </w:r>
            <w:r w:rsidDel="00000000" w:rsidR="00000000" w:rsidRPr="00000000">
              <w:rPr>
                <w:color w:val="1f1f1f"/>
                <w:sz w:val="24"/>
                <w:szCs w:val="24"/>
                <w:rtl w:val="0"/>
              </w:rPr>
              <w:t xml:space="preserve"> of your product.</w:t>
            </w:r>
          </w:p>
          <w:p w:rsidR="00000000" w:rsidDel="00000000" w:rsidP="00000000" w:rsidRDefault="00000000" w:rsidRPr="00000000" w14:paraId="0000000B">
            <w:pPr>
              <w:spacing w:before="240" w:line="240" w:lineRule="auto"/>
              <w:ind w:left="360" w:firstLine="0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left w:color="000000" w:space="0" w:sz="4" w:val="dotted"/>
              <w:bottom w:color="000000" w:space="0" w:sz="24" w:val="single"/>
            </w:tcBorders>
            <w:shd w:fill="d9f2d0" w:val="clear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color w:val="1f1f1f"/>
              </w:rPr>
            </w:pPr>
            <w:r w:rsidDel="00000000" w:rsidR="00000000" w:rsidRPr="00000000">
              <w:rPr>
                <w:rFonts w:ascii="KG Be Still And Know" w:cs="KG Be Still And Know" w:eastAsia="KG Be Still And Know" w:hAnsi="KG Be Still And Know"/>
                <w:b w:val="1"/>
                <w:color w:val="1f1f1f"/>
                <w:rtl w:val="0"/>
              </w:rPr>
              <w:t xml:space="preserve">Need inspiration: 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28114</wp:posOffset>
                  </wp:positionH>
                  <wp:positionV relativeFrom="paragraph">
                    <wp:posOffset>285115</wp:posOffset>
                  </wp:positionV>
                  <wp:extent cx="1967230" cy="1451403"/>
                  <wp:effectExtent b="28575" l="28575" r="28575" t="28575"/>
                  <wp:wrapSquare wrapText="bothSides" distB="0" distT="0" distL="114300" distR="114300"/>
                  <wp:docPr descr="Video game devices old retro joystick gamepad Vector Image" id="4" name="image1.jpg"/>
                  <a:graphic>
                    <a:graphicData uri="http://schemas.openxmlformats.org/drawingml/2006/picture">
                      <pic:pic>
                        <pic:nvPicPr>
                          <pic:cNvPr descr="Video game devices old retro joystick gamepad Vector Image" id="0" name="image1.jpg"/>
                          <pic:cNvPicPr preferRelativeResize="0"/>
                        </pic:nvPicPr>
                        <pic:blipFill>
                          <a:blip r:embed="rId6"/>
                          <a:srcRect b="10987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230" cy="1451403"/>
                          </a:xfrm>
                          <a:prstGeom prst="rect"/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Aptos" w:cs="Aptos" w:eastAsia="Aptos" w:hAnsi="Aptos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Aptos" w:cs="Aptos" w:eastAsia="Aptos" w:hAnsi="Aptos"/>
                <w:i w:val="1"/>
                <w:sz w:val="24"/>
                <w:szCs w:val="24"/>
                <w:rtl w:val="0"/>
              </w:rPr>
              <w:t xml:space="preserve">Consider old and current gaming controllers and handheld gaming devices </w:t>
            </w:r>
          </w:p>
          <w:p w:rsidR="00000000" w:rsidDel="00000000" w:rsidP="00000000" w:rsidRDefault="00000000" w:rsidRPr="00000000" w14:paraId="0000000F">
            <w:pPr>
              <w:spacing w:before="240" w:line="240" w:lineRule="auto"/>
              <w:rPr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0.5078125" w:hRule="atLeast"/>
          <w:tblHeader w:val="0"/>
        </w:trPr>
        <w:tc>
          <w:tcPr>
            <w:gridSpan w:val="3"/>
            <w:tcBorders>
              <w:top w:color="000000" w:space="0" w:sz="2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top w:color="000000" w:space="0" w:sz="2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  <w:rtl w:val="0"/>
              </w:rPr>
              <w:t xml:space="preserve">Explain your design: 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tcBorders>
              <w:bottom w:color="000000" w:space="0" w:sz="24" w:val="single"/>
            </w:tcBorders>
            <w:shd w:fill="8ed873" w:val="clear"/>
          </w:tcPr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Aptos" w:cs="Aptos" w:eastAsia="Aptos" w:hAnsi="Aptos"/>
                <w:sz w:val="24"/>
                <w:szCs w:val="24"/>
              </w:rPr>
            </w:pPr>
            <w:r w:rsidDel="00000000" w:rsidR="00000000" w:rsidRPr="00000000">
              <w:rPr>
                <w:rFonts w:ascii="KG Be Still And Know" w:cs="KG Be Still And Know" w:eastAsia="KG Be Still And Know" w:hAnsi="KG Be Still And Know"/>
                <w:b w:val="1"/>
                <w:sz w:val="32"/>
                <w:szCs w:val="32"/>
                <w:rtl w:val="0"/>
              </w:rPr>
              <w:t xml:space="preserve">Part 2:</w:t>
            </w:r>
            <w:r w:rsidDel="00000000" w:rsidR="00000000" w:rsidRPr="00000000">
              <w:rPr>
                <w:rFonts w:ascii="Aptos" w:cs="Aptos" w:eastAsia="Aptos" w:hAnsi="Aptos"/>
                <w:sz w:val="32"/>
                <w:szCs w:val="32"/>
                <w:rtl w:val="0"/>
              </w:rPr>
              <w:t xml:space="preserve"> Ecofriendly product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2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030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color w:val="0d0d0d"/>
                <w:sz w:val="24"/>
                <w:szCs w:val="24"/>
                <w:highlight w:val="white"/>
                <w:rtl w:val="0"/>
              </w:rPr>
              <w:t xml:space="preserve">Investigate the different methods that companies are using to create environmentally sustainable products.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color w:val="0d0d0d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color w:val="1f1f1f"/>
                <w:sz w:val="24"/>
                <w:szCs w:val="24"/>
                <w:rtl w:val="0"/>
              </w:rPr>
              <w:t xml:space="preserve">What did you learn? Why might this be important?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pacing w:after="240" w:line="240" w:lineRule="auto"/>
              <w:ind w:left="720" w:hanging="360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color w:val="1f1f1f"/>
                <w:sz w:val="24"/>
                <w:szCs w:val="24"/>
                <w:rtl w:val="0"/>
              </w:rPr>
              <w:t xml:space="preserve">What do you want to aspire to as you reflect on the design of your product? If you need to revisit and redesign your product, you may.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40" w:lineRule="auto"/>
              <w:rPr>
                <w:color w:val="1f1f1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24" w:val="single"/>
              <w:bottom w:color="000000" w:space="0" w:sz="24" w:val="single"/>
            </w:tcBorders>
            <w:shd w:fill="d9f2d0" w:val="clear"/>
          </w:tcPr>
          <w:p w:rsidR="00000000" w:rsidDel="00000000" w:rsidP="00000000" w:rsidRDefault="00000000" w:rsidRPr="00000000" w14:paraId="0000004D">
            <w:pPr>
              <w:spacing w:after="240"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489412</wp:posOffset>
                  </wp:positionH>
                  <wp:positionV relativeFrom="paragraph">
                    <wp:posOffset>0</wp:posOffset>
                  </wp:positionV>
                  <wp:extent cx="1837690" cy="858520"/>
                  <wp:effectExtent b="0" l="0" r="0" t="0"/>
                  <wp:wrapSquare wrapText="bothSides" distB="0" distT="0" distL="114300" distR="114300"/>
                  <wp:docPr descr="Sustainable Business Plan for Eco-Friendly Products | by Peak Plans -  Business Plan Writers &amp; Consulting | Feb, 2024 | Medium" id="8" name="image2.png"/>
                  <a:graphic>
                    <a:graphicData uri="http://schemas.openxmlformats.org/drawingml/2006/picture">
                      <pic:pic>
                        <pic:nvPicPr>
                          <pic:cNvPr descr="Sustainable Business Plan for Eco-Friendly Products | by Peak Plans -  Business Plan Writers &amp; Consulting | Feb, 2024 | Medium" id="0" name="image2.png"/>
                          <pic:cNvPicPr preferRelativeResize="0"/>
                        </pic:nvPicPr>
                        <pic:blipFill>
                          <a:blip r:embed="rId7"/>
                          <a:srcRect b="18230" l="0" r="0" t="173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7690" cy="8585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E">
            <w:pPr>
              <w:spacing w:after="240" w:line="240" w:lineRule="auto"/>
              <w:rPr>
                <w:rFonts w:ascii="KG Be Still And Know" w:cs="KG Be Still And Know" w:eastAsia="KG Be Still And Know" w:hAnsi="KG Be Still And Know"/>
                <w:b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240"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240" w:line="240" w:lineRule="auto"/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KG Be Still And Know" w:cs="KG Be Still And Know" w:eastAsia="KG Be Still And Know" w:hAnsi="KG Be Still And Know"/>
                <w:b w:val="1"/>
                <w:sz w:val="24"/>
                <w:szCs w:val="24"/>
                <w:rtl w:val="0"/>
              </w:rPr>
              <w:t xml:space="preserve">Need inspiration: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3"/>
              </w:numPr>
              <w:spacing w:line="240" w:lineRule="auto"/>
              <w:ind w:left="169" w:hanging="180"/>
              <w:rPr>
                <w:color w:val="77206e"/>
                <w:sz w:val="21"/>
                <w:szCs w:val="21"/>
              </w:rPr>
            </w:pPr>
            <w:r w:rsidDel="00000000" w:rsidR="00000000" w:rsidRPr="00000000">
              <w:rPr>
                <w:color w:val="77206e"/>
                <w:sz w:val="21"/>
                <w:szCs w:val="21"/>
                <w:u w:val="single"/>
                <w:rtl w:val="0"/>
              </w:rPr>
              <w:t xml:space="preserve">What Does Eco-Friendly Actually Mean?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ind w:left="169" w:hanging="180"/>
              <w:rPr>
                <w:sz w:val="21"/>
                <w:szCs w:val="21"/>
              </w:rPr>
            </w:pPr>
            <w:r w:rsidDel="00000000" w:rsidR="00000000" w:rsidRPr="00000000">
              <w:rPr>
                <w:color w:val="434343"/>
                <w:sz w:val="21"/>
                <w:szCs w:val="21"/>
                <w:rtl w:val="0"/>
              </w:rPr>
              <w:t xml:space="preserve">● </w:t>
            </w:r>
            <w:hyperlink r:id="rId8">
              <w:r w:rsidDel="00000000" w:rsidR="00000000" w:rsidRPr="00000000">
                <w:rPr>
                  <w:color w:val="3a7d22"/>
                  <w:sz w:val="21"/>
                  <w:szCs w:val="21"/>
                  <w:u w:val="single"/>
                  <w:rtl w:val="0"/>
                </w:rPr>
                <w:t xml:space="preserve">What Does Eco-Friendly Mean?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3"/>
              </w:numPr>
              <w:spacing w:line="240" w:lineRule="auto"/>
              <w:ind w:left="169" w:hanging="180"/>
              <w:rPr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color w:val="3a7d22"/>
                  <w:sz w:val="21"/>
                  <w:szCs w:val="21"/>
                  <w:u w:val="single"/>
                  <w:rtl w:val="0"/>
                </w:rPr>
                <w:t xml:space="preserve">Eco-Friendly Building Materials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3"/>
              </w:numPr>
              <w:spacing w:after="240" w:line="240" w:lineRule="auto"/>
              <w:ind w:left="169" w:hanging="180"/>
              <w:rPr>
                <w:sz w:val="24"/>
                <w:szCs w:val="24"/>
              </w:rPr>
            </w:pPr>
            <w:hyperlink r:id="rId10">
              <w:r w:rsidDel="00000000" w:rsidR="00000000" w:rsidRPr="00000000">
                <w:rPr>
                  <w:color w:val="3a7d22"/>
                  <w:sz w:val="21"/>
                  <w:szCs w:val="21"/>
                  <w:u w:val="single"/>
                  <w:rtl w:val="0"/>
                </w:rPr>
                <w:t xml:space="preserve">Sustainable Materials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3"/>
              </w:numPr>
              <w:pBdr>
                <w:top w:color="e3e3e3" w:space="0" w:sz="4" w:val="single"/>
                <w:left w:color="e3e3e3" w:space="5" w:sz="4" w:val="single"/>
                <w:bottom w:color="e3e3e3" w:space="0" w:sz="4" w:val="single"/>
                <w:right w:color="e3e3e3" w:space="0" w:sz="4" w:val="single"/>
              </w:pBdr>
              <w:shd w:fill="d9f2d0" w:val="clear"/>
              <w:spacing w:line="240" w:lineRule="auto"/>
              <w:ind w:left="169" w:hanging="180"/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0d0d0d"/>
                <w:sz w:val="18"/>
                <w:szCs w:val="18"/>
                <w:rtl w:val="0"/>
              </w:rPr>
              <w:t xml:space="preserve">Recycled Materials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  <w:rtl w:val="0"/>
              </w:rPr>
              <w:t xml:space="preserve">: Design the controller using recycled materials such as recycled plastic or bioplastics made from renewable resources. This reduces the reliance on virgin materials and minimizes environmental impact.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3"/>
              </w:numPr>
              <w:pBdr>
                <w:top w:color="e3e3e3" w:space="0" w:sz="4" w:val="single"/>
                <w:left w:color="e3e3e3" w:space="5" w:sz="4" w:val="single"/>
                <w:bottom w:color="e3e3e3" w:space="0" w:sz="4" w:val="single"/>
                <w:right w:color="e3e3e3" w:space="0" w:sz="4" w:val="single"/>
              </w:pBdr>
              <w:shd w:fill="d9f2d0" w:val="clear"/>
              <w:spacing w:line="240" w:lineRule="auto"/>
              <w:ind w:left="169" w:hanging="180"/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0d0d0d"/>
                <w:sz w:val="18"/>
                <w:szCs w:val="18"/>
                <w:rtl w:val="0"/>
              </w:rPr>
              <w:t xml:space="preserve">Biodegradable Components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  <w:rtl w:val="0"/>
              </w:rPr>
              <w:t xml:space="preserve">: Incorporate biodegradable components into the controller's construction. This includes buttons, casing, and other parts made from biodegradable materials that break down naturally at the end of the product's life cycle.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3"/>
              </w:numPr>
              <w:pBdr>
                <w:top w:color="e3e3e3" w:space="0" w:sz="4" w:val="single"/>
                <w:left w:color="e3e3e3" w:space="5" w:sz="4" w:val="single"/>
                <w:bottom w:color="e3e3e3" w:space="0" w:sz="4" w:val="single"/>
                <w:right w:color="e3e3e3" w:space="0" w:sz="4" w:val="single"/>
              </w:pBdr>
              <w:shd w:fill="d9f2d0" w:val="clear"/>
              <w:spacing w:line="240" w:lineRule="auto"/>
              <w:ind w:left="169" w:hanging="180"/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0d0d0d"/>
                <w:sz w:val="18"/>
                <w:szCs w:val="18"/>
                <w:rtl w:val="0"/>
              </w:rPr>
              <w:t xml:space="preserve">Solar-Powered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  <w:rtl w:val="0"/>
              </w:rPr>
              <w:t xml:space="preserve">: Implement solar panels into the controller's design to harness solar energy for charging. This reduces the need for disposable batteries or electricity from non-renewable sources.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3"/>
              </w:numPr>
              <w:pBdr>
                <w:top w:color="e3e3e3" w:space="0" w:sz="4" w:val="single"/>
                <w:left w:color="e3e3e3" w:space="5" w:sz="4" w:val="single"/>
                <w:bottom w:color="e3e3e3" w:space="0" w:sz="4" w:val="single"/>
                <w:right w:color="e3e3e3" w:space="0" w:sz="4" w:val="single"/>
              </w:pBdr>
              <w:shd w:fill="d9f2d0" w:val="clear"/>
              <w:spacing w:line="240" w:lineRule="auto"/>
              <w:ind w:left="169" w:hanging="180"/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0d0d0d"/>
                <w:sz w:val="18"/>
                <w:szCs w:val="18"/>
                <w:rtl w:val="0"/>
              </w:rPr>
              <w:t xml:space="preserve">Energy-Efficient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  <w:rtl w:val="0"/>
              </w:rPr>
              <w:t xml:space="preserve">: Design the controller to be energy-efficient, with features such as automatic power-off when not in use or low-power consumption components to extend battery life.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3"/>
              </w:numPr>
              <w:pBdr>
                <w:top w:color="e3e3e3" w:space="0" w:sz="4" w:val="single"/>
                <w:left w:color="e3e3e3" w:space="5" w:sz="4" w:val="single"/>
                <w:bottom w:color="e3e3e3" w:space="0" w:sz="4" w:val="single"/>
                <w:right w:color="e3e3e3" w:space="0" w:sz="4" w:val="single"/>
              </w:pBdr>
              <w:shd w:fill="d9f2d0" w:val="clear"/>
              <w:spacing w:line="240" w:lineRule="auto"/>
              <w:ind w:left="169" w:hanging="180"/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0d0d0d"/>
                <w:sz w:val="18"/>
                <w:szCs w:val="18"/>
                <w:rtl w:val="0"/>
              </w:rPr>
              <w:t xml:space="preserve">Modular Design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  <w:rtl w:val="0"/>
              </w:rPr>
              <w:t xml:space="preserve">: Create a modular controller with interchangeable parts that allow for easy repair and upgrades. This extends the lifespan of the controller and reduces electronic waste.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3"/>
              </w:numPr>
              <w:pBdr>
                <w:top w:color="e3e3e3" w:space="0" w:sz="4" w:val="single"/>
                <w:left w:color="e3e3e3" w:space="5" w:sz="4" w:val="single"/>
                <w:bottom w:color="e3e3e3" w:space="0" w:sz="4" w:val="single"/>
                <w:right w:color="e3e3e3" w:space="0" w:sz="4" w:val="single"/>
              </w:pBdr>
              <w:shd w:fill="d9f2d0" w:val="clear"/>
              <w:spacing w:line="240" w:lineRule="auto"/>
              <w:ind w:left="169" w:hanging="180"/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0d0d0d"/>
                <w:sz w:val="18"/>
                <w:szCs w:val="18"/>
                <w:rtl w:val="0"/>
              </w:rPr>
              <w:t xml:space="preserve">Carbon Offsetting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  <w:rtl w:val="0"/>
              </w:rPr>
              <w:t xml:space="preserve">: Offset the carbon footprint of production and shipping processes by investing in carbon offset projects, such as reforestation or renewable energy initiatives.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3"/>
              </w:numPr>
              <w:pBdr>
                <w:top w:color="e3e3e3" w:space="0" w:sz="4" w:val="single"/>
                <w:left w:color="e3e3e3" w:space="5" w:sz="4" w:val="single"/>
                <w:bottom w:color="e3e3e3" w:space="0" w:sz="4" w:val="single"/>
                <w:right w:color="e3e3e3" w:space="0" w:sz="4" w:val="single"/>
              </w:pBdr>
              <w:shd w:fill="d9f2d0" w:val="clear"/>
              <w:spacing w:line="240" w:lineRule="auto"/>
              <w:ind w:left="169" w:hanging="180"/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color w:val="0d0d0d"/>
                <w:sz w:val="18"/>
                <w:szCs w:val="18"/>
                <w:rtl w:val="0"/>
              </w:rPr>
              <w:t xml:space="preserve">Education and Awareness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  <w:rtl w:val="0"/>
              </w:rPr>
              <w:t xml:space="preserve">: Include educational materials with the controller to raise awareness about environmental issues and promote sustainable gaming practices among consumers.</w:t>
            </w:r>
          </w:p>
          <w:p w:rsidR="00000000" w:rsidDel="00000000" w:rsidP="00000000" w:rsidRDefault="00000000" w:rsidRPr="00000000" w14:paraId="0000005C">
            <w:pPr>
              <w:pBdr>
                <w:top w:color="e3e3e3" w:space="0" w:sz="4" w:val="single"/>
                <w:left w:color="e3e3e3" w:space="5" w:sz="4" w:val="single"/>
                <w:bottom w:color="e3e3e3" w:space="0" w:sz="4" w:val="single"/>
                <w:right w:color="e3e3e3" w:space="0" w:sz="4" w:val="single"/>
              </w:pBdr>
              <w:shd w:fill="d9f2d0" w:val="clear"/>
              <w:spacing w:line="240" w:lineRule="auto"/>
              <w:rPr>
                <w:rFonts w:ascii="Quattrocento Sans" w:cs="Quattrocento Sans" w:eastAsia="Quattrocento Sans" w:hAnsi="Quattrocento Sans"/>
                <w:color w:val="0d0d0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line="240" w:lineRule="auto"/>
        <w:rPr/>
        <w:sectPr>
          <w:headerReference r:id="rId11" w:type="default"/>
          <w:footerReference r:id="rId12" w:type="defaul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jc w:val="center"/>
        <w:rPr>
          <w:rFonts w:ascii="IBM Plex Sans" w:cs="IBM Plex Sans" w:eastAsia="IBM Plex Sans" w:hAnsi="IBM Plex Sans"/>
          <w:b w:val="1"/>
          <w:color w:val="434343"/>
          <w:sz w:val="28"/>
          <w:szCs w:val="28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8"/>
          <w:szCs w:val="28"/>
          <w:rtl w:val="0"/>
        </w:rPr>
        <w:t xml:space="preserve">Example 2: Roses for Rosa</w:t>
      </w:r>
    </w:p>
    <w:p w:rsidR="00000000" w:rsidDel="00000000" w:rsidP="00000000" w:rsidRDefault="00000000" w:rsidRPr="00000000" w14:paraId="00000060">
      <w:pPr>
        <w:spacing w:line="276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4476927</wp:posOffset>
            </wp:positionH>
            <wp:positionV relativeFrom="paragraph">
              <wp:posOffset>257175</wp:posOffset>
            </wp:positionV>
            <wp:extent cx="1866900" cy="2407816"/>
            <wp:effectExtent b="0" l="0" r="0" t="0"/>
            <wp:wrapSquare wrapText="bothSides" distB="114300" distT="114300" distL="114300" distR="114300"/>
            <wp:docPr id="9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3"/>
                    <a:srcRect b="8076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40781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1">
      <w:pPr>
        <w:spacing w:line="276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Rosa and her family are planning for her Quinceañera. Each of the 15 tables at Rosa’s reception will have a centerpiece—a cylindrical glass vase filled one-third of the way with glass marbles holding a rose in place.</w:t>
      </w:r>
    </w:p>
    <w:p w:rsidR="00000000" w:rsidDel="00000000" w:rsidP="00000000" w:rsidRDefault="00000000" w:rsidRPr="00000000" w14:paraId="00000064">
      <w:pPr>
        <w:spacing w:line="276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276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6"/>
        </w:numPr>
        <w:spacing w:line="276" w:lineRule="auto"/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The glass vases are 10 inches tall with a 4 inch diameter.</w:t>
      </w:r>
    </w:p>
    <w:p w:rsidR="00000000" w:rsidDel="00000000" w:rsidP="00000000" w:rsidRDefault="00000000" w:rsidRPr="00000000" w14:paraId="00000067">
      <w:pPr>
        <w:numPr>
          <w:ilvl w:val="0"/>
          <w:numId w:val="6"/>
        </w:numPr>
        <w:spacing w:line="276" w:lineRule="auto"/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Rosa can choose between marbles that are 12mm or 16mm in diameter.</w:t>
      </w:r>
    </w:p>
    <w:p w:rsidR="00000000" w:rsidDel="00000000" w:rsidP="00000000" w:rsidRDefault="00000000" w:rsidRPr="00000000" w14:paraId="00000068">
      <w:pPr>
        <w:numPr>
          <w:ilvl w:val="0"/>
          <w:numId w:val="6"/>
        </w:numPr>
        <w:spacing w:line="276" w:lineRule="auto"/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The 12mm marbles cost $11.99 for 340 pieces.</w:t>
      </w:r>
    </w:p>
    <w:p w:rsidR="00000000" w:rsidDel="00000000" w:rsidP="00000000" w:rsidRDefault="00000000" w:rsidRPr="00000000" w14:paraId="00000069">
      <w:pPr>
        <w:numPr>
          <w:ilvl w:val="0"/>
          <w:numId w:val="6"/>
        </w:numPr>
        <w:spacing w:line="276" w:lineRule="auto"/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The 16mm marbles cost $11.99 for 140 pieces.</w:t>
      </w:r>
    </w:p>
    <w:p w:rsidR="00000000" w:rsidDel="00000000" w:rsidP="00000000" w:rsidRDefault="00000000" w:rsidRPr="00000000" w14:paraId="0000006A">
      <w:pPr>
        <w:numPr>
          <w:ilvl w:val="0"/>
          <w:numId w:val="6"/>
        </w:numPr>
        <w:spacing w:line="276" w:lineRule="auto"/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Rosa spent $110 on the vases.</w:t>
      </w:r>
    </w:p>
    <w:p w:rsidR="00000000" w:rsidDel="00000000" w:rsidP="00000000" w:rsidRDefault="00000000" w:rsidRPr="00000000" w14:paraId="0000006B">
      <w:pPr>
        <w:numPr>
          <w:ilvl w:val="0"/>
          <w:numId w:val="6"/>
        </w:numPr>
        <w:spacing w:line="276" w:lineRule="auto"/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The florist is not charging Rosa for the 15 extra roses for the centerpieces. </w:t>
      </w:r>
    </w:p>
    <w:p w:rsidR="00000000" w:rsidDel="00000000" w:rsidP="00000000" w:rsidRDefault="00000000" w:rsidRPr="00000000" w14:paraId="0000006C">
      <w:pPr>
        <w:spacing w:line="276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76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numPr>
          <w:ilvl w:val="0"/>
          <w:numId w:val="4"/>
        </w:numPr>
        <w:spacing w:line="276" w:lineRule="auto"/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If Rosa chooses 12mm marbles, how many bags will she need? How many bags will she need if she chooses 16mm marbles?</w:t>
      </w:r>
    </w:p>
    <w:p w:rsidR="00000000" w:rsidDel="00000000" w:rsidP="00000000" w:rsidRDefault="00000000" w:rsidRPr="00000000" w14:paraId="0000006F">
      <w:pPr>
        <w:numPr>
          <w:ilvl w:val="0"/>
          <w:numId w:val="4"/>
        </w:numPr>
        <w:spacing w:line="276" w:lineRule="auto"/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Rosa’s budget for the centerpieces is $250. Will she be able to stay within her budget?</w:t>
      </w:r>
    </w:p>
    <w:p w:rsidR="00000000" w:rsidDel="00000000" w:rsidP="00000000" w:rsidRDefault="00000000" w:rsidRPr="00000000" w14:paraId="00000070">
      <w:pPr>
        <w:numPr>
          <w:ilvl w:val="0"/>
          <w:numId w:val="4"/>
        </w:numPr>
        <w:spacing w:line="276" w:lineRule="auto"/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The marble company also sells 8mm marbles (1100 pieces for $11.99). Would you recommend Rosa buy these marbles instead?</w:t>
      </w:r>
    </w:p>
    <w:p w:rsidR="00000000" w:rsidDel="00000000" w:rsidP="00000000" w:rsidRDefault="00000000" w:rsidRPr="00000000" w14:paraId="00000071">
      <w:pPr>
        <w:spacing w:line="276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76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76" w:lineRule="auto"/>
        <w:ind w:left="720" w:firstLine="72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</w:rPr>
        <w:drawing>
          <wp:inline distB="114300" distT="114300" distL="114300" distR="114300">
            <wp:extent cx="1559576" cy="1644644"/>
            <wp:effectExtent b="0" l="0" r="0" t="0"/>
            <wp:docPr id="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9576" cy="16446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</w:t>
        <w:tab/>
        <w:tab/>
        <w:tab/>
      </w: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</w:rPr>
        <w:drawing>
          <wp:inline distB="114300" distT="114300" distL="114300" distR="114300">
            <wp:extent cx="1566863" cy="1653910"/>
            <wp:effectExtent b="0" l="0" r="0" t="0"/>
            <wp:docPr id="7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66863" cy="16539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75">
      <w:pPr>
        <w:spacing w:line="276" w:lineRule="auto"/>
        <w:ind w:left="720" w:firstLine="72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76" w:lineRule="auto"/>
        <w:ind w:left="720" w:firstLine="72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12 mm marbles</w:t>
        <w:tab/>
        <w:tab/>
        <w:tab/>
        <w:tab/>
        <w:t xml:space="preserve">16 mm marbles</w:t>
      </w:r>
    </w:p>
    <w:p w:rsidR="00000000" w:rsidDel="00000000" w:rsidP="00000000" w:rsidRDefault="00000000" w:rsidRPr="00000000" w14:paraId="00000077">
      <w:pPr>
        <w:spacing w:line="276" w:lineRule="auto"/>
        <w:ind w:left="720" w:firstLine="72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340 pieces</w:t>
        <w:tab/>
        <w:tab/>
        <w:tab/>
        <w:tab/>
        <w:tab/>
        <w:t xml:space="preserve">140 pieces</w:t>
      </w:r>
    </w:p>
    <w:p w:rsidR="00000000" w:rsidDel="00000000" w:rsidP="00000000" w:rsidRDefault="00000000" w:rsidRPr="00000000" w14:paraId="00000078">
      <w:pPr>
        <w:spacing w:line="276" w:lineRule="auto"/>
        <w:ind w:left="720" w:firstLine="72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$11.99</w:t>
        <w:tab/>
        <w:tab/>
        <w:tab/>
        <w:tab/>
        <w:tab/>
        <w:tab/>
        <w:t xml:space="preserve">$11.99</w:t>
        <w:tab/>
      </w:r>
    </w:p>
    <w:p w:rsidR="00000000" w:rsidDel="00000000" w:rsidP="00000000" w:rsidRDefault="00000000" w:rsidRPr="00000000" w14:paraId="00000079">
      <w:pPr>
        <w:spacing w:line="276" w:lineRule="auto"/>
        <w:ind w:left="720" w:firstLine="720"/>
        <w:rPr>
          <w:rFonts w:ascii="IBM Plex Sans" w:cs="IBM Plex Sans" w:eastAsia="IBM Plex Sans" w:hAnsi="IBM Plex Sans"/>
          <w:color w:val="434343"/>
          <w:sz w:val="20"/>
          <w:szCs w:val="20"/>
        </w:rPr>
        <w:sectPr>
          <w:type w:val="nextPage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240" w:before="240" w:line="240" w:lineRule="auto"/>
        <w:rPr>
          <w:rFonts w:ascii="IBM Plex Sans" w:cs="IBM Plex Sans" w:eastAsia="IBM Plex Sans" w:hAnsi="IBM Plex Sans"/>
          <w:b w:val="1"/>
          <w:color w:val="434343"/>
          <w:sz w:val="24"/>
          <w:szCs w:val="24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4"/>
          <w:szCs w:val="24"/>
          <w:rtl w:val="0"/>
        </w:rPr>
        <w:t xml:space="preserve">Example 3: Similar Solids</w:t>
      </w:r>
    </w:p>
    <w:p w:rsidR="00000000" w:rsidDel="00000000" w:rsidP="00000000" w:rsidRDefault="00000000" w:rsidRPr="00000000" w14:paraId="0000007B">
      <w:pPr>
        <w:spacing w:after="240" w:before="240" w:line="240" w:lineRule="auto"/>
        <w:rPr>
          <w:rFonts w:ascii="IBM Plex Sans" w:cs="IBM Plex Sans" w:eastAsia="IBM Plex Sans" w:hAnsi="IBM Plex Sans"/>
          <w:b w:val="1"/>
          <w:color w:val="43434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240" w:before="240" w:line="240" w:lineRule="auto"/>
        <w:rPr>
          <w:rFonts w:ascii="IBM Plex Sans" w:cs="IBM Plex Sans" w:eastAsia="IBM Plex Sans" w:hAnsi="IBM Plex Sans"/>
          <w:b w:val="1"/>
          <w:color w:val="434343"/>
          <w:sz w:val="24"/>
          <w:szCs w:val="24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24"/>
          <w:szCs w:val="24"/>
          <w:rtl w:val="0"/>
        </w:rPr>
        <w:t xml:space="preserve">Name: </w:t>
      </w:r>
    </w:p>
    <w:p w:rsidR="00000000" w:rsidDel="00000000" w:rsidP="00000000" w:rsidRDefault="00000000" w:rsidRPr="00000000" w14:paraId="0000007D">
      <w:pPr>
        <w:spacing w:after="240" w:before="240" w:line="240" w:lineRule="auto"/>
        <w:jc w:val="center"/>
        <w:rPr>
          <w:rFonts w:ascii="IBM Plex Sans" w:cs="IBM Plex Sans" w:eastAsia="IBM Plex Sans" w:hAnsi="IBM Plex Sans"/>
          <w:b w:val="1"/>
          <w:color w:val="434343"/>
          <w:sz w:val="32"/>
          <w:szCs w:val="32"/>
        </w:rPr>
      </w:pPr>
      <w:r w:rsidDel="00000000" w:rsidR="00000000" w:rsidRPr="00000000">
        <w:rPr>
          <w:rFonts w:ascii="IBM Plex Sans" w:cs="IBM Plex Sans" w:eastAsia="IBM Plex Sans" w:hAnsi="IBM Plex Sans"/>
          <w:b w:val="1"/>
          <w:color w:val="434343"/>
          <w:sz w:val="32"/>
          <w:szCs w:val="32"/>
          <w:rtl w:val="0"/>
        </w:rPr>
        <w:t xml:space="preserve">Similar Solids</w:t>
      </w:r>
    </w:p>
    <w:p w:rsidR="00000000" w:rsidDel="00000000" w:rsidP="00000000" w:rsidRDefault="00000000" w:rsidRPr="00000000" w14:paraId="0000007E">
      <w:pPr>
        <w:numPr>
          <w:ilvl w:val="0"/>
          <w:numId w:val="5"/>
        </w:numPr>
        <w:spacing w:after="240" w:before="240" w:line="240" w:lineRule="auto"/>
        <w:ind w:left="720" w:hanging="360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What are some ways these two solids are alike? </w:t>
      </w:r>
    </w:p>
    <w:p w:rsidR="00000000" w:rsidDel="00000000" w:rsidP="00000000" w:rsidRDefault="00000000" w:rsidRPr="00000000" w14:paraId="0000007F">
      <w:pPr>
        <w:spacing w:after="240" w:before="240" w:line="240" w:lineRule="auto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240" w:before="240" w:line="240" w:lineRule="auto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5"/>
        </w:numPr>
        <w:spacing w:after="240" w:before="240" w:line="240" w:lineRule="auto"/>
        <w:ind w:left="720" w:hanging="360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What are some ways these two solids are different?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240" w:before="240" w:line="24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40" w:before="240" w:line="24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40" w:before="240" w:line="24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40" w:before="240" w:line="24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A                                                                 B</w:t>
      </w:r>
    </w:p>
    <w:p w:rsidR="00000000" w:rsidDel="00000000" w:rsidP="00000000" w:rsidRDefault="00000000" w:rsidRPr="00000000" w14:paraId="00000086">
      <w:pPr>
        <w:spacing w:after="240" w:before="240" w:line="24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</w:rPr>
        <mc:AlternateContent>
          <mc:Choice Requires="wpg">
            <w:drawing>
              <wp:inline distB="114300" distT="114300" distL="114300" distR="114300">
                <wp:extent cx="3619500" cy="1646968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536250" y="2956500"/>
                          <a:ext cx="3619500" cy="1646968"/>
                          <a:chOff x="3536250" y="2956500"/>
                          <a:chExt cx="3619500" cy="1647000"/>
                        </a:xfrm>
                      </wpg:grpSpPr>
                      <wpg:grpSp>
                        <wpg:cNvGrpSpPr/>
                        <wpg:grpSpPr>
                          <a:xfrm>
                            <a:off x="3536250" y="2956516"/>
                            <a:ext cx="3619500" cy="1646968"/>
                            <a:chOff x="3536250" y="2956500"/>
                            <a:chExt cx="3619500" cy="1647000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3536250" y="2956500"/>
                              <a:ext cx="3619500" cy="1647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3536250" y="2956516"/>
                              <a:ext cx="3619500" cy="1646968"/>
                              <a:chOff x="3536225" y="2956475"/>
                              <a:chExt cx="3619550" cy="1647050"/>
                            </a:xfrm>
                          </wpg:grpSpPr>
                          <wps:wsp>
                            <wps:cNvSpPr/>
                            <wps:cNvPr id="6" name="Shape 6"/>
                            <wps:spPr>
                              <a:xfrm>
                                <a:off x="3536225" y="2956475"/>
                                <a:ext cx="3619550" cy="16470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3536250" y="2956516"/>
                                <a:ext cx="3619500" cy="1646968"/>
                                <a:chOff x="3531475" y="2951750"/>
                                <a:chExt cx="3629050" cy="1656500"/>
                              </a:xfrm>
                            </wpg:grpSpPr>
                            <wps:wsp>
                              <wps:cNvSpPr/>
                              <wps:cNvPr id="8" name="Shape 8"/>
                              <wps:spPr>
                                <a:xfrm>
                                  <a:off x="3531475" y="2951750"/>
                                  <a:ext cx="3629050" cy="1656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3536250" y="2956516"/>
                                  <a:ext cx="3619500" cy="1646968"/>
                                  <a:chOff x="3536250" y="2956516"/>
                                  <a:chExt cx="3619500" cy="1646968"/>
                                </a:xfrm>
                              </wpg:grpSpPr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3536250" y="2956516"/>
                                    <a:ext cx="3619500" cy="16469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3536250" y="2956516"/>
                                    <a:ext cx="3619500" cy="1646968"/>
                                    <a:chOff x="3536250" y="2956516"/>
                                    <a:chExt cx="3619500" cy="1646968"/>
                                  </a:xfrm>
                                </wpg:grpSpPr>
                                <wps:wsp>
                                  <wps:cNvSpPr/>
                                  <wps:cNvPr id="12" name="Shape 12"/>
                                  <wps:spPr>
                                    <a:xfrm>
                                      <a:off x="3536250" y="2956516"/>
                                      <a:ext cx="3619500" cy="1646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3536250" y="2956516"/>
                                      <a:ext cx="3619500" cy="1646968"/>
                                      <a:chOff x="3536250" y="2956516"/>
                                      <a:chExt cx="3619500" cy="1646968"/>
                                    </a:xfrm>
                                  </wpg:grpSpPr>
                                  <wps:wsp>
                                    <wps:cNvSpPr/>
                                    <wps:cNvPr id="14" name="Shape 14"/>
                                    <wps:spPr>
                                      <a:xfrm>
                                        <a:off x="3536250" y="2956516"/>
                                        <a:ext cx="3619500" cy="16469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Del="00000000" w:rsidP="00000000" w:rsidRDefault="00000000" w:rsidRPr="00000000">
                                          <w:pPr>
                                            <w:spacing w:after="0" w:before="0" w:line="240"/>
                                            <w:ind w:left="0" w:right="0" w:firstLine="0"/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anchorCtr="0" anchor="ctr" bIns="91425" lIns="91425" spcFirstLastPara="1" rIns="91425" wrap="square" tIns="91425"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3536250" y="2956516"/>
                                        <a:ext cx="3619500" cy="1646968"/>
                                        <a:chOff x="3536250" y="2956516"/>
                                        <a:chExt cx="3619500" cy="1646968"/>
                                      </a:xfrm>
                                    </wpg:grpSpPr>
                                    <wps:wsp>
                                      <wps:cNvSpPr/>
                                      <wps:cNvPr id="16" name="Shape 16"/>
                                      <wps:spPr>
                                        <a:xfrm>
                                          <a:off x="3536250" y="2956516"/>
                                          <a:ext cx="3619500" cy="16469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Del="00000000" w:rsidP="00000000" w:rsidRDefault="00000000" w:rsidRPr="00000000">
                                            <w:pPr>
                                              <w:spacing w:after="0" w:before="0" w:line="240"/>
                                              <w:ind w:left="0" w:right="0" w:firstLine="0"/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anchorCtr="0" anchor="ctr" bIns="91425" lIns="91425" spcFirstLastPara="1" rIns="91425" wrap="square" tIns="91425">
                                        <a:noAutofit/>
                                      </wps:bodyPr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3536250" y="2956516"/>
                                          <a:ext cx="3619500" cy="1646968"/>
                                          <a:chOff x="970475" y="1058700"/>
                                          <a:chExt cx="3578200" cy="1617600"/>
                                        </a:xfrm>
                                      </wpg:grpSpPr>
                                      <wps:wsp>
                                        <wps:cNvSpPr/>
                                        <wps:cNvPr id="18" name="Shape 18"/>
                                        <wps:spPr>
                                          <a:xfrm>
                                            <a:off x="970475" y="1058700"/>
                                            <a:ext cx="3578200" cy="1617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s:wsp>
                                        <wps:cNvSpPr/>
                                        <wps:cNvPr id="19" name="Shape 19"/>
                                        <wps:spPr>
                                          <a:xfrm>
                                            <a:off x="970475" y="1058700"/>
                                            <a:ext cx="1313700" cy="1617600"/>
                                          </a:xfrm>
                                          <a:prstGeom prst="can">
                                            <a:avLst>
                                              <a:gd fmla="val 25000" name="adj"/>
                                            </a:avLst>
                                          </a:prstGeom>
                                          <a:solidFill>
                                            <a:srgbClr val="CFE2F3"/>
                                          </a:solidFill>
                                          <a:ln cap="flat" cmpd="sng" w="9525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round/>
                                            <a:headEnd len="sm" w="sm" type="none"/>
                                            <a:tailEnd len="sm" w="sm" type="none"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  <wps:wsp>
                                        <wps:cNvSpPr/>
                                        <wps:cNvPr id="20" name="Shape 20"/>
                                        <wps:spPr>
                                          <a:xfrm>
                                            <a:off x="2803575" y="1058700"/>
                                            <a:ext cx="1745100" cy="1499700"/>
                                          </a:xfrm>
                                          <a:prstGeom prst="cube">
                                            <a:avLst>
                                              <a:gd fmla="val 14604" name="adj"/>
                                            </a:avLst>
                                          </a:prstGeom>
                                          <a:solidFill>
                                            <a:srgbClr val="CFE2F3"/>
                                          </a:solidFill>
                                          <a:ln cap="flat" cmpd="sng" w="9525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round/>
                                            <a:headEnd len="sm" w="sm" type="none"/>
                                            <a:tailEnd len="sm" w="sm" type="none"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Del="00000000" w:rsidP="00000000" w:rsidRDefault="00000000" w:rsidRPr="00000000">
                                              <w:pPr>
                                                <w:spacing w:after="0" w:before="0" w:line="240"/>
                                                <w:ind w:left="0" w:right="0" w:firstLine="0"/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anchorCtr="0" anchor="ctr" bIns="91425" lIns="91425" spcFirstLastPara="1" rIns="91425" wrap="square" tIns="91425"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3619500" cy="1646968"/>
                <wp:effectExtent b="0" l="0" r="0" t="0"/>
                <wp:docPr id="2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0" cy="164696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before="240" w:line="276" w:lineRule="auto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8">
      <w:pPr>
        <w:numPr>
          <w:ilvl w:val="0"/>
          <w:numId w:val="5"/>
        </w:numPr>
        <w:spacing w:before="240" w:line="240" w:lineRule="auto"/>
        <w:ind w:left="720" w:hanging="360"/>
        <w:rPr>
          <w:rFonts w:ascii="IBM Plex Sans" w:cs="IBM Plex Sans" w:eastAsia="IBM Plex Sans" w:hAnsi="IBM Plex Sans"/>
          <w:i w:val="1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What information would you need to calculate the volume of each solid?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before="240" w:line="240" w:lineRule="auto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before="240" w:line="240" w:lineRule="auto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numPr>
          <w:ilvl w:val="0"/>
          <w:numId w:val="5"/>
        </w:numPr>
        <w:spacing w:after="240" w:line="240" w:lineRule="auto"/>
        <w:ind w:left="720" w:hanging="360"/>
        <w:rPr>
          <w:rFonts w:ascii="IBM Plex Sans" w:cs="IBM Plex Sans" w:eastAsia="IBM Plex Sans" w:hAnsi="IBM Plex Sans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What is the same and different about how you would find the volume of each solid?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240" w:before="240" w:line="24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240" w:before="240" w:line="24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240" w:before="240" w:line="24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240" w:before="240" w:line="24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These images show the same number of coins arranged in different ways:</w:t>
      </w:r>
    </w:p>
    <w:p w:rsidR="00000000" w:rsidDel="00000000" w:rsidP="00000000" w:rsidRDefault="00000000" w:rsidRPr="00000000" w14:paraId="00000090">
      <w:pPr>
        <w:spacing w:after="240" w:before="240" w:line="24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                     </w:t>
      </w:r>
    </w:p>
    <w:p w:rsidR="00000000" w:rsidDel="00000000" w:rsidP="00000000" w:rsidRDefault="00000000" w:rsidRPr="00000000" w14:paraId="00000091">
      <w:pPr>
        <w:spacing w:after="240" w:before="240" w:line="24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240" w:before="240" w:line="24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  <w:rtl w:val="0"/>
        </w:rPr>
        <w:t xml:space="preserve">  C                                                                             </w:t>
        <w:tab/>
        <w:tab/>
        <w:t xml:space="preserve">      D</w:t>
      </w:r>
    </w:p>
    <w:p w:rsidR="00000000" w:rsidDel="00000000" w:rsidP="00000000" w:rsidRDefault="00000000" w:rsidRPr="00000000" w14:paraId="00000093">
      <w:pPr>
        <w:spacing w:after="240" w:before="240" w:line="240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color w:val="434343"/>
          <w:sz w:val="20"/>
          <w:szCs w:val="20"/>
        </w:rPr>
        <w:drawing>
          <wp:inline distB="114300" distT="114300" distL="114300" distR="114300">
            <wp:extent cx="5943600" cy="2260600"/>
            <wp:effectExtent b="0" l="0" r="0" t="0"/>
            <wp:docPr descr="A stack of coins&#10;&#10;Description automatically generated with low confidence" id="6" name="image4.png"/>
            <a:graphic>
              <a:graphicData uri="http://schemas.openxmlformats.org/drawingml/2006/picture">
                <pic:pic>
                  <pic:nvPicPr>
                    <pic:cNvPr descr="A stack of coins&#10;&#10;Description automatically generated with low confidence" id="0" name="image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0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before="240" w:line="276" w:lineRule="auto"/>
        <w:rPr>
          <w:rFonts w:ascii="IBM Plex Sans" w:cs="IBM Plex Sans" w:eastAsia="IBM Plex Sans" w:hAnsi="IBM Plex Sans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numPr>
          <w:ilvl w:val="0"/>
          <w:numId w:val="5"/>
        </w:numPr>
        <w:spacing w:before="240" w:line="240" w:lineRule="auto"/>
        <w:ind w:left="720" w:hanging="360"/>
        <w:rPr>
          <w:rFonts w:ascii="IBM Plex Sans" w:cs="IBM Plex Sans" w:eastAsia="IBM Plex Sans" w:hAnsi="IBM Plex Sans"/>
          <w:i w:val="1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How are the two coin stacks different from each other?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before="240" w:line="240" w:lineRule="auto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before="240" w:line="240" w:lineRule="auto"/>
        <w:rPr>
          <w:rFonts w:ascii="IBM Plex Sans" w:cs="IBM Plex Sans" w:eastAsia="IBM Plex Sans" w:hAnsi="IBM Plex Sans"/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before="240" w:line="240" w:lineRule="auto"/>
        <w:ind w:left="720" w:firstLine="0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numPr>
          <w:ilvl w:val="0"/>
          <w:numId w:val="5"/>
        </w:numPr>
        <w:spacing w:line="240" w:lineRule="auto"/>
        <w:ind w:left="720" w:hanging="360"/>
        <w:rPr>
          <w:rFonts w:ascii="IBM Plex Sans" w:cs="IBM Plex Sans" w:eastAsia="IBM Plex Sans" w:hAnsi="IBM Plex Sans"/>
          <w:i w:val="1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Does either stack resemble a geometric solid? If so, which stack and solid?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240" w:lineRule="auto"/>
        <w:ind w:left="720" w:firstLine="0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40" w:lineRule="auto"/>
        <w:ind w:left="720" w:firstLine="0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40" w:lineRule="auto"/>
        <w:ind w:left="720" w:firstLine="0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40" w:lineRule="auto"/>
        <w:ind w:left="720" w:firstLine="0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240" w:lineRule="auto"/>
        <w:ind w:left="720" w:firstLine="0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numPr>
          <w:ilvl w:val="0"/>
          <w:numId w:val="5"/>
        </w:numPr>
        <w:spacing w:line="240" w:lineRule="auto"/>
        <w:ind w:left="720" w:hanging="360"/>
        <w:rPr>
          <w:rFonts w:ascii="IBM Plex Sans" w:cs="IBM Plex Sans" w:eastAsia="IBM Plex Sans" w:hAnsi="IBM Plex Sans"/>
          <w:i w:val="1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How do the heights of the two stacks compare?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240" w:lineRule="auto"/>
        <w:ind w:left="720" w:firstLine="0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240" w:lineRule="auto"/>
        <w:ind w:left="720" w:firstLine="0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40" w:lineRule="auto"/>
        <w:ind w:left="0" w:firstLine="0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40" w:lineRule="auto"/>
        <w:ind w:left="720" w:firstLine="0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40" w:lineRule="auto"/>
        <w:ind w:left="720" w:firstLine="0"/>
        <w:rPr>
          <w:rFonts w:ascii="IBM Plex Sans" w:cs="IBM Plex Sans" w:eastAsia="IBM Plex Sans" w:hAnsi="IBM Plex Sans"/>
          <w:i w:val="1"/>
          <w:color w:val="43434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numPr>
          <w:ilvl w:val="0"/>
          <w:numId w:val="5"/>
        </w:numPr>
        <w:spacing w:after="240" w:line="240" w:lineRule="auto"/>
        <w:ind w:left="720" w:hanging="360"/>
        <w:rPr>
          <w:rFonts w:ascii="IBM Plex Sans" w:cs="IBM Plex Sans" w:eastAsia="IBM Plex Sans" w:hAnsi="IBM Plex Sans"/>
          <w:i w:val="1"/>
          <w:sz w:val="20"/>
          <w:szCs w:val="20"/>
        </w:rPr>
      </w:pPr>
      <w:r w:rsidDel="00000000" w:rsidR="00000000" w:rsidRPr="00000000">
        <w:rPr>
          <w:rFonts w:ascii="IBM Plex Sans" w:cs="IBM Plex Sans" w:eastAsia="IBM Plex Sans" w:hAnsi="IBM Plex Sans"/>
          <w:i w:val="1"/>
          <w:color w:val="434343"/>
          <w:sz w:val="20"/>
          <w:szCs w:val="20"/>
          <w:rtl w:val="0"/>
        </w:rPr>
        <w:t xml:space="preserve">How do the volumes of the two stacks compare? Explain your reasoning.</w:t>
      </w: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BM Plex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Aptos"/>
  <w:font w:name="Quattrocento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Janda Safe and Sound"/>
  <w:font w:name="KG Be Still And Kno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-3248024</wp:posOffset>
              </wp:positionH>
              <wp:positionV relativeFrom="paragraph">
                <wp:posOffset>304800</wp:posOffset>
              </wp:positionV>
              <wp:extent cx="10129838" cy="23812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21" name="Shape 21"/>
                    <wps:spPr>
                      <a:xfrm>
                        <a:off x="2223900" y="3691800"/>
                        <a:ext cx="6244200" cy="176400"/>
                      </a:xfrm>
                      <a:prstGeom prst="rect">
                        <a:avLst/>
                      </a:prstGeom>
                      <a:solidFill>
                        <a:srgbClr val="38B449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-3248024</wp:posOffset>
              </wp:positionH>
              <wp:positionV relativeFrom="paragraph">
                <wp:posOffset>304800</wp:posOffset>
              </wp:positionV>
              <wp:extent cx="10129838" cy="238125"/>
              <wp:effectExtent b="0" l="0" r="0" t="0"/>
              <wp:wrapNone/>
              <wp:docPr id="3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29838" cy="2381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-123824</wp:posOffset>
              </wp:positionV>
              <wp:extent cx="3295650" cy="347928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733500" y="3618450"/>
                        <a:ext cx="3225000" cy="323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IBM Plex Sans" w:cs="IBM Plex Sans" w:eastAsia="IBM Plex Sans" w:hAnsi="IBM Plex Sans"/>
                              <w:b w:val="0"/>
                              <w:i w:val="0"/>
                              <w:smallCaps w:val="0"/>
                              <w:strike w:val="0"/>
                              <w:color w:val="434343"/>
                              <w:sz w:val="18"/>
                              <w:vertAlign w:val="baseline"/>
                            </w:rPr>
                            <w:t xml:space="preserve">© 2021-202</w:t>
                          </w:r>
                          <w:r w:rsidDel="00000000" w:rsidR="00000000" w:rsidRPr="00000000">
                            <w:rPr>
                              <w:rFonts w:ascii="IBM Plex Sans" w:cs="IBM Plex Sans" w:eastAsia="IBM Plex Sans" w:hAnsi="IBM Plex Sans"/>
                              <w:b w:val="0"/>
                              <w:i w:val="0"/>
                              <w:smallCaps w:val="0"/>
                              <w:strike w:val="0"/>
                              <w:color w:val="434343"/>
                              <w:sz w:val="18"/>
                              <w:vertAlign w:val="baseline"/>
                            </w:rPr>
                            <w:t xml:space="preserve">4</w:t>
                          </w:r>
                          <w:r w:rsidDel="00000000" w:rsidR="00000000" w:rsidRPr="00000000">
                            <w:rPr>
                              <w:rFonts w:ascii="IBM Plex Sans" w:cs="IBM Plex Sans" w:eastAsia="IBM Plex Sans" w:hAnsi="IBM Plex Sans"/>
                              <w:b w:val="0"/>
                              <w:i w:val="0"/>
                              <w:smallCaps w:val="0"/>
                              <w:strike w:val="0"/>
                              <w:color w:val="434343"/>
                              <w:sz w:val="18"/>
                              <w:vertAlign w:val="baseline"/>
                            </w:rPr>
                            <w:t xml:space="preserve"> XQ Institute</w:t>
                          </w:r>
                        </w:p>
                      </w:txbxContent>
                    </wps:txbx>
                    <wps:bodyPr anchorCtr="0" anchor="t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0</wp:posOffset>
              </wp:positionH>
              <wp:positionV relativeFrom="paragraph">
                <wp:posOffset>-123824</wp:posOffset>
              </wp:positionV>
              <wp:extent cx="3295650" cy="347928"/>
              <wp:effectExtent b="0" l="0" r="0" t="0"/>
              <wp:wrapNone/>
              <wp:docPr id="1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5650" cy="3479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7">
    <w:pPr>
      <w:rPr>
        <w:rFonts w:ascii="IBM Plex Sans" w:cs="IBM Plex Sans" w:eastAsia="IBM Plex Sans" w:hAnsi="IBM Plex Sans"/>
        <w:b w:val="1"/>
      </w:rPr>
    </w:pPr>
    <w:r w:rsidDel="00000000" w:rsidR="00000000" w:rsidRPr="00000000">
      <w:rPr>
        <w:rFonts w:ascii="IBM Plex Sans" w:cs="IBM Plex Sans" w:eastAsia="IBM Plex Sans" w:hAnsi="IBM Plex Sans"/>
        <w:b w:val="1"/>
        <w:rtl w:val="0"/>
      </w:rPr>
      <w:t xml:space="preserve">Student-facing Assignment Templates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about:blank" TargetMode="External"/><Relationship Id="rId13" Type="http://schemas.openxmlformats.org/officeDocument/2006/relationships/image" Target="media/image5.png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about:blank" TargetMode="External"/><Relationship Id="rId15" Type="http://schemas.openxmlformats.org/officeDocument/2006/relationships/image" Target="media/image6.jpg"/><Relationship Id="rId14" Type="http://schemas.openxmlformats.org/officeDocument/2006/relationships/image" Target="media/image3.jpg"/><Relationship Id="rId17" Type="http://schemas.openxmlformats.org/officeDocument/2006/relationships/image" Target="media/image4.png"/><Relationship Id="rId16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png"/><Relationship Id="rId8" Type="http://schemas.openxmlformats.org/officeDocument/2006/relationships/hyperlink" Target="about:bla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BMPlexSans-regular.ttf"/><Relationship Id="rId2" Type="http://schemas.openxmlformats.org/officeDocument/2006/relationships/font" Target="fonts/IBMPlexSans-bold.ttf"/><Relationship Id="rId3" Type="http://schemas.openxmlformats.org/officeDocument/2006/relationships/font" Target="fonts/IBMPlexSans-italic.ttf"/><Relationship Id="rId4" Type="http://schemas.openxmlformats.org/officeDocument/2006/relationships/font" Target="fonts/IBMPlexSans-boldItalic.ttf"/><Relationship Id="rId5" Type="http://schemas.openxmlformats.org/officeDocument/2006/relationships/font" Target="fonts/QuattrocentoSans-regular.ttf"/><Relationship Id="rId6" Type="http://schemas.openxmlformats.org/officeDocument/2006/relationships/font" Target="fonts/QuattrocentoSans-bold.ttf"/><Relationship Id="rId7" Type="http://schemas.openxmlformats.org/officeDocument/2006/relationships/font" Target="fonts/QuattrocentoSans-italic.ttf"/><Relationship Id="rId8" Type="http://schemas.openxmlformats.org/officeDocument/2006/relationships/font" Target="fonts/Quattrocento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9.png"/><Relationship Id="rId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