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0"/>
      </w:pPr>
      <w:r>
        <w:rPr>
          <w:rFonts w:ascii="Arial" w:cs="Arial" w:eastAsia="Arial" w:hAnsi="Arial"/>
          <w:b/>
          <w:bCs/>
          <w:color w:val="3A7D44"/>
          <w:sz w:val="36"/>
          <w:szCs w:val="36"/>
        </w:rPr>
        <w:t xml:space="preserve">M202: Rational Exponents and Complex Numbers — Content &amp; Practice Expectations</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662"/>
        <w:gridCol w:w="1828"/>
        <w:gridCol w:w="1828"/>
        <w:gridCol w:w="2741"/>
        <w:gridCol w:w="2741"/>
      </w:tblGrid>
      <w:tr>
        <w:trPr>
          <w:cantSplit w:val="false"/>
          <w:tblHeader/>
          <w:trHeight w:val="400" w:hRule="atLeast"/>
        </w:trPr>
        <w:tc>
          <w:tcPr>
            <w:gridSpan w:val="2"/>
            <w:tcBorders>
              <w:top w:val="single" w:color="CCCCCC" w:sz="4"/>
              <w:left w:val="single" w:color="CCCCCC" w:sz="4"/>
              <w:bottom w:val="single" w:color="CCCCCC" w:sz="4"/>
              <w:right w:val="single" w:color="CCCCCC" w:sz="4"/>
            </w:tcBorders>
            <w:shd w:fill="4A4A4A" w:val="clear"/>
            <w:tcMar>
              <w:top w:type="dxa" w:w="100"/>
              <w:left w:type="dxa" w:w="120"/>
              <w:bottom w:type="dxa" w:w="100"/>
              <w:right w:type="dxa" w:w="120"/>
            </w:tcMar>
          </w:tcPr>
          <w:p>
            <w:pPr>
              <w:jc w:val="center"/>
            </w:pPr>
            <w:r>
              <w:rPr>
                <w:rFonts w:ascii="Arial" w:cs="Arial" w:eastAsia="Arial" w:hAnsi="Arial"/>
                <w:b/>
                <w:bCs/>
                <w:color w:val="FFFFFF"/>
                <w:sz w:val="20"/>
                <w:szCs w:val="20"/>
              </w:rPr>
              <w:t xml:space="preserve">Content &amp; Practice Expectations and Indicators</w:t>
            </w:r>
          </w:p>
        </w:tc>
        <w:tc>
          <w:tcPr>
            <w:gridSpan w:val="3"/>
            <w:tcBorders>
              <w:top w:val="single" w:color="CCCCCC" w:sz="4"/>
              <w:left w:val="single" w:color="CCCCCC" w:sz="4"/>
              <w:bottom w:val="single" w:color="CCCCCC" w:sz="4"/>
              <w:right w:val="single" w:color="CCCCCC" w:sz="4"/>
            </w:tcBorders>
            <w:shd w:fill="4A4A4A" w:val="clear"/>
            <w:tcMar>
              <w:top w:type="dxa" w:w="100"/>
              <w:left w:type="dxa" w:w="120"/>
              <w:bottom w:type="dxa" w:w="100"/>
              <w:right w:type="dxa" w:w="120"/>
            </w:tcMar>
          </w:tcPr>
          <w:p>
            <w:pPr>
              <w:jc w:val="center"/>
            </w:pPr>
            <w:r>
              <w:rPr>
                <w:rFonts w:ascii="Arial" w:cs="Arial" w:eastAsia="Arial" w:hAnsi="Arial"/>
                <w:b/>
                <w:bCs/>
                <w:color w:val="FFFFFF"/>
                <w:sz w:val="20"/>
                <w:szCs w:val="20"/>
              </w:rPr>
              <w:t xml:space="preserve">Student-Friendly Versions</w:t>
            </w:r>
          </w:p>
        </w:tc>
      </w:tr>
      <w:tr>
        <w:trPr>
          <w:cantSplit w:val="false"/>
          <w:tblHeader/>
        </w:trPr>
        <w:tc>
          <w:tcPr>
            <w:tcBorders>
              <w:top w:val="single" w:color="CCCCCC" w:sz="4"/>
              <w:left w:val="single" w:color="CCCCCC" w:sz="4"/>
              <w:bottom w:val="single" w:color="CCCCCC" w:sz="4"/>
              <w:right w:val="single" w:color="CCCCCC" w:sz="4"/>
            </w:tcBorders>
            <w:shd w:fill="4A4A4A" w:val="clear"/>
            <w:tcMar>
              <w:top w:type="dxa" w:w="100"/>
              <w:left w:type="dxa" w:w="120"/>
              <w:bottom w:type="dxa" w:w="100"/>
              <w:right w:type="dxa" w:w="120"/>
            </w:tcMar>
          </w:tcPr>
          <w:p>
            <w:pPr>
              <w:jc w:val="left"/>
            </w:pPr>
            <w:r>
              <w:rPr>
                <w:rFonts w:ascii="Arial" w:cs="Arial" w:eastAsia="Arial" w:hAnsi="Arial"/>
                <w:b/>
                <w:bCs/>
                <w:color w:val="FFFFFF"/>
                <w:sz w:val="20"/>
                <w:szCs w:val="20"/>
              </w:rPr>
              <w:t xml:space="preserve">Content &amp; Practice Expectations (CPEs)</w:t>
            </w:r>
          </w:p>
        </w:tc>
        <w:tc>
          <w:tcPr>
            <w:tcBorders>
              <w:top w:val="single" w:color="CCCCCC" w:sz="4"/>
              <w:left w:val="single" w:color="CCCCCC" w:sz="4"/>
              <w:bottom w:val="single" w:color="CCCCCC" w:sz="4"/>
              <w:right w:val="single" w:color="CCCCCC" w:sz="4"/>
            </w:tcBorders>
            <w:shd w:fill="4A4A4A" w:val="clear"/>
            <w:tcMar>
              <w:top w:type="dxa" w:w="100"/>
              <w:left w:type="dxa" w:w="120"/>
              <w:bottom w:type="dxa" w:w="100"/>
              <w:right w:type="dxa" w:w="120"/>
            </w:tcMar>
          </w:tcPr>
          <w:p>
            <w:pPr>
              <w:jc w:val="left"/>
            </w:pPr>
            <w:r>
              <w:rPr>
                <w:rFonts w:ascii="Arial" w:cs="Arial" w:eastAsia="Arial" w:hAnsi="Arial"/>
                <w:b/>
                <w:bCs/>
                <w:color w:val="FFFFFF"/>
                <w:sz w:val="20"/>
                <w:szCs w:val="20"/>
              </w:rPr>
              <w:t xml:space="preserve">Performance Indicators</w:t>
            </w:r>
          </w:p>
        </w:tc>
        <w:tc>
          <w:tcPr>
            <w:tcBorders>
              <w:top w:val="single" w:color="CCCCCC" w:sz="4"/>
              <w:left w:val="single" w:color="CCCCCC" w:sz="4"/>
              <w:bottom w:val="single" w:color="CCCCCC" w:sz="4"/>
              <w:right w:val="single" w:color="CCCCCC" w:sz="4"/>
            </w:tcBorders>
            <w:shd w:fill="4A4A4A" w:val="clear"/>
            <w:tcMar>
              <w:top w:type="dxa" w:w="100"/>
              <w:left w:type="dxa" w:w="120"/>
              <w:bottom w:type="dxa" w:w="100"/>
              <w:right w:type="dxa" w:w="120"/>
            </w:tcMar>
          </w:tcPr>
          <w:p>
            <w:pPr>
              <w:jc w:val="left"/>
            </w:pPr>
            <w:r>
              <w:rPr>
                <w:rFonts w:ascii="Arial" w:cs="Arial" w:eastAsia="Arial" w:hAnsi="Arial"/>
                <w:b/>
                <w:bCs/>
                <w:color w:val="FFFFFF"/>
                <w:sz w:val="20"/>
                <w:szCs w:val="20"/>
              </w:rPr>
              <w:t xml:space="preserve">Student-Friendly Content &amp; Practice Expectations (CPEs)</w:t>
            </w:r>
          </w:p>
        </w:tc>
        <w:tc>
          <w:tcPr>
            <w:tcBorders>
              <w:top w:val="single" w:color="CCCCCC" w:sz="4"/>
              <w:left w:val="single" w:color="CCCCCC" w:sz="4"/>
              <w:bottom w:val="single" w:color="CCCCCC" w:sz="4"/>
              <w:right w:val="single" w:color="CCCCCC" w:sz="4"/>
            </w:tcBorders>
            <w:shd w:fill="4A4A4A" w:val="clear"/>
            <w:tcMar>
              <w:top w:type="dxa" w:w="100"/>
              <w:left w:type="dxa" w:w="120"/>
              <w:bottom w:type="dxa" w:w="100"/>
              <w:right w:type="dxa" w:w="120"/>
            </w:tcMar>
          </w:tcPr>
          <w:p>
            <w:pPr>
              <w:jc w:val="left"/>
            </w:pPr>
            <w:r>
              <w:rPr>
                <w:rFonts w:ascii="Arial" w:cs="Arial" w:eastAsia="Arial" w:hAnsi="Arial"/>
                <w:b/>
                <w:bCs/>
                <w:color w:val="FFFFFF"/>
                <w:sz w:val="20"/>
                <w:szCs w:val="20"/>
              </w:rPr>
              <w:t xml:space="preserve">Student-Friendly Performance Indicators (English)</w:t>
            </w:r>
          </w:p>
        </w:tc>
        <w:tc>
          <w:tcPr>
            <w:tcBorders>
              <w:top w:val="single" w:color="CCCCCC" w:sz="4"/>
              <w:left w:val="single" w:color="CCCCCC" w:sz="4"/>
              <w:bottom w:val="single" w:color="CCCCCC" w:sz="4"/>
              <w:right w:val="single" w:color="CCCCCC" w:sz="4"/>
            </w:tcBorders>
            <w:shd w:fill="4A4A4A" w:val="clear"/>
            <w:tcMar>
              <w:top w:type="dxa" w:w="100"/>
              <w:left w:type="dxa" w:w="120"/>
              <w:bottom w:type="dxa" w:w="100"/>
              <w:right w:type="dxa" w:w="120"/>
            </w:tcMar>
          </w:tcPr>
          <w:p>
            <w:pPr>
              <w:jc w:val="left"/>
            </w:pPr>
            <w:r>
              <w:rPr>
                <w:rFonts w:ascii="Arial" w:cs="Arial" w:eastAsia="Arial" w:hAnsi="Arial"/>
                <w:b/>
                <w:bCs/>
                <w:color w:val="FFFFFF"/>
                <w:sz w:val="20"/>
                <w:szCs w:val="20"/>
              </w:rPr>
              <w:t xml:space="preserve">Student-Friendly Performance Indicators (Español)</w:t>
            </w:r>
          </w:p>
        </w:tc>
      </w:tr>
      <w:tr>
        <w:trPr>
          <w:cantSplit w:val="false"/>
        </w:trPr>
        <w:tc>
          <w:tcPr>
            <w:tcW w:type="dxa" w:w="1662"/>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b/>
                <w:bCs/>
                <w:color w:val="3A7D44"/>
                <w:sz w:val="18"/>
                <w:szCs w:val="18"/>
              </w:rPr>
              <w:t xml:space="preserve">202.a </w:t>
            </w:r>
            <w:r>
              <w:rPr>
                <w:rFonts w:ascii="Arial" w:cs="Arial" w:eastAsia="Arial" w:hAnsi="Arial"/>
                <w:color w:val="222222"/>
                <w:sz w:val="18"/>
                <w:szCs w:val="18"/>
              </w:rPr>
              <w:t xml:space="preserve">Reason about and extend the properties of exponents to rational exponents.</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explain how the meaning of rational exponents follows from extending the properties of integer exponents to those values, and how this definition leads to notation for radicals in terms of rational exponents.</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rewrite expressions involving radicals and rational exponents using the properties of exponents.</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color w:val="222222"/>
                <w:sz w:val="18"/>
                <w:szCs w:val="18"/>
              </w:rPr>
              <w:t xml:space="preserve">Using the Properties of Exponents for Rational Exponents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Explain how the properties of integer exponents can be used with rational exponents.</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Use the properties of exponents to rewrite expressions that have radicals and rational exponents.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Explica cómo se pueden usar las propiedades de exponentes enteros con exponentes racionales.</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Usa las propiedades de los exponentes para reescribir expresiones con radicales y exponentes racionales.</w:t>
            </w:r>
          </w:p>
        </w:tc>
      </w:tr>
      <w:tr>
        <w:trPr>
          <w:cantSplit w:val="false"/>
        </w:trPr>
        <w:tc>
          <w:tcPr>
            <w:tcW w:type="dxa" w:w="1662"/>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b/>
                <w:bCs/>
                <w:color w:val="3A7D44"/>
                <w:sz w:val="18"/>
                <w:szCs w:val="18"/>
              </w:rPr>
              <w:t xml:space="preserve">202.b </w:t>
            </w:r>
            <w:r>
              <w:rPr>
                <w:rFonts w:ascii="Arial" w:cs="Arial" w:eastAsia="Arial" w:hAnsi="Arial"/>
                <w:color w:val="222222"/>
                <w:sz w:val="18"/>
                <w:szCs w:val="18"/>
              </w:rPr>
              <w:t xml:space="preserve">Reason about and perform operations with complex numbers.</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demonstrate understanding that there is a complex number i such that i2 = -1, and every complex number has the form a + bi with a and b real.</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use the relation i2 = -1 and the commutative, associative, and distributive properties to add, subtract, and multiply complex numbers.</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color w:val="222222"/>
                <w:sz w:val="18"/>
                <w:szCs w:val="18"/>
              </w:rPr>
              <w:t xml:space="preserve">Performing Operations With Complex Numbers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Show understanding of complex numbers (i2 = -1) and that every complex number has the form a + bi with a and b being real numbers.</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Use the property i2 = -1 and the commutative, associative, and distributive properties to add, subtract, and multiply complex numbers.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Muestra tu comprensión de números complejos (i2 = -1), donde cada número complejo tiene la formaa+ bi,siendoaybnúmeros reales.</w:t>
            </w:r>
          </w:p>
          <w:p>
            <w:pPr>
              <w:spacing w:before="80" w:after="0"/>
            </w:pPr>
            <w:r>
              <w:rPr>
                <w:rFonts w:ascii="Arial" w:cs="Arial" w:eastAsia="Arial" w:hAnsi="Arial"/>
                <w:b/>
                <w:bCs/>
                <w:color w:val="222222"/>
                <w:sz w:val="18"/>
                <w:szCs w:val="18"/>
              </w:rPr>
              <w:t xml:space="preserve">ii. </w:t>
            </w:r>
            <w:r>
              <w:rPr>
                <w:rFonts w:ascii="Arial" w:cs="Arial" w:eastAsia="Arial" w:hAnsi="Arial"/>
                <w:color w:val="222222"/>
                <w:sz w:val="18"/>
                <w:szCs w:val="18"/>
              </w:rPr>
              <w:t xml:space="preserve">Usa la propiedad i2 = -1 y las propiedades conmutativa,asociativa y distributiva para sumar, restar y multiplicar números complejos.</w:t>
            </w:r>
          </w:p>
        </w:tc>
      </w:tr>
      <w:tr>
        <w:trPr>
          <w:cantSplit w:val="false"/>
        </w:trPr>
        <w:tc>
          <w:tcPr>
            <w:tcW w:type="dxa" w:w="1662"/>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b/>
                <w:bCs/>
                <w:color w:val="3A7D44"/>
                <w:sz w:val="18"/>
                <w:szCs w:val="18"/>
              </w:rPr>
              <w:t xml:space="preserve">202.c </w:t>
            </w:r>
            <w:r>
              <w:rPr>
                <w:rFonts w:ascii="Arial" w:cs="Arial" w:eastAsia="Arial" w:hAnsi="Arial"/>
                <w:color w:val="222222"/>
                <w:sz w:val="18"/>
                <w:szCs w:val="18"/>
              </w:rPr>
              <w:t xml:space="preserve">Analyze and use complex numbers in polynomial equations.</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solve quadratic equations with real coefficients that have complex solutions.</w:t>
            </w:r>
          </w:p>
        </w:tc>
        <w:tc>
          <w:tcPr>
            <w:tcW w:type="dxa" w:w="1828"/>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r>
              <w:rPr>
                <w:rFonts w:ascii="Arial" w:cs="Arial" w:eastAsia="Arial" w:hAnsi="Arial"/>
                <w:color w:val="222222"/>
                <w:sz w:val="18"/>
                <w:szCs w:val="18"/>
              </w:rPr>
              <w:t xml:space="preserve">Using Complex Numbers in Polynomial Equations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Solve quadratic equations with real coefficients that have complex solutions.</w:t>
            </w:r>
          </w:p>
        </w:tc>
        <w:tc>
          <w:tcPr>
            <w:tcW w:type="dxa" w:w="2741"/>
            <w:tcBorders>
              <w:top w:val="single" w:color="CCCCCC" w:sz="4"/>
              <w:left w:val="single" w:color="CCCCCC" w:sz="4"/>
              <w:bottom w:val="single" w:color="CCCCCC" w:sz="4"/>
              <w:right w:val="single" w:color="CCCCCC" w:sz="4"/>
            </w:tcBorders>
            <w:shd w:fill="FFFFFF" w:val="clear"/>
            <w:tcMar>
              <w:top w:type="dxa" w:w="100"/>
              <w:left w:type="dxa" w:w="120"/>
              <w:bottom w:type="dxa" w:w="100"/>
              <w:right w:type="dxa" w:w="120"/>
            </w:tcMar>
            <w:vAlign w:val="top"/>
          </w:tcPr>
          <w:p>
            <w:pPr>
              <w:spacing w:after="0"/>
            </w:pPr>
            <w:r>
              <w:rPr>
                <w:rFonts w:ascii="Arial" w:cs="Arial" w:eastAsia="Arial" w:hAnsi="Arial"/>
                <w:b/>
                <w:bCs/>
                <w:color w:val="222222"/>
                <w:sz w:val="18"/>
                <w:szCs w:val="18"/>
              </w:rPr>
              <w:t xml:space="preserve">i. </w:t>
            </w:r>
            <w:r>
              <w:rPr>
                <w:rFonts w:ascii="Arial" w:cs="Arial" w:eastAsia="Arial" w:hAnsi="Arial"/>
                <w:color w:val="222222"/>
                <w:sz w:val="18"/>
                <w:szCs w:val="18"/>
              </w:rPr>
              <w:t xml:space="preserve">Resuelve ecuaciones cuadráticas con coeficientes reales que den soluciones complejas.</w:t>
            </w:r>
          </w:p>
        </w:tc>
      </w:tr>
    </w:tbl>
    <w:p>
      <w:pPr>
        <w:spacing w:before="200"/>
      </w:pPr>
      <w:r>
        <w:rPr>
          <w:rFonts w:ascii="Arial" w:cs="Arial" w:eastAsia="Arial" w:hAnsi="Arial"/>
          <w:i/>
          <w:iCs/>
          <w:color w:val="222222"/>
          <w:sz w:val="18"/>
          <w:szCs w:val="18"/>
        </w:rPr>
        <w:t xml:space="preserve">© 2021–2025 XQ Institute</w:t>
      </w:r>
    </w:p>
    <w:sectPr>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2026-03-12T23:23:03.329Z</dcterms:created>
  <dcterms:modified xsi:type="dcterms:W3CDTF">2026-03-12T23:23:03.329Z</dcterms:modified>
</cp:coreProperties>
</file>

<file path=docProps/custom.xml><?xml version="1.0" encoding="utf-8"?>
<Properties xmlns="http://schemas.openxmlformats.org/officeDocument/2006/custom-properties" xmlns:vt="http://schemas.openxmlformats.org/officeDocument/2006/docPropsVTypes"/>
</file>